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ED0" w:rsidRDefault="00281ED0" w:rsidP="00115202">
      <w:pPr>
        <w:spacing w:afterLines="50" w:line="500" w:lineRule="exact"/>
        <w:jc w:val="center"/>
        <w:outlineLvl w:val="0"/>
        <w:rPr>
          <w:rFonts w:ascii="標楷體" w:eastAsia="標楷體" w:hAnsi="標楷體"/>
          <w:b/>
          <w:bCs/>
          <w:sz w:val="32"/>
          <w:szCs w:val="32"/>
        </w:rPr>
      </w:pPr>
      <w:r>
        <w:rPr>
          <w:rFonts w:ascii="標楷體" w:eastAsia="標楷體" w:hAnsi="標楷體" w:hint="eastAsia"/>
          <w:b/>
          <w:bCs/>
          <w:sz w:val="32"/>
          <w:szCs w:val="32"/>
        </w:rPr>
        <w:t>投資顧問服務委任契約書範本</w:t>
      </w:r>
      <w:r w:rsidRPr="00037FA6">
        <w:rPr>
          <w:rFonts w:ascii="標楷體" w:eastAsia="標楷體" w:hAnsi="標楷體" w:hint="eastAsia"/>
          <w:b/>
          <w:bCs/>
          <w:sz w:val="32"/>
          <w:szCs w:val="32"/>
        </w:rPr>
        <w:t>修正條文對照表</w:t>
      </w:r>
    </w:p>
    <w:p w:rsidR="00281ED0" w:rsidRPr="00BE3FDF" w:rsidRDefault="00281ED0" w:rsidP="00BE3FDF">
      <w:pPr>
        <w:pStyle w:val="Header"/>
        <w:jc w:val="right"/>
      </w:pPr>
      <w:r w:rsidRPr="00DA500C">
        <w:rPr>
          <w:rFonts w:ascii="標楷體" w:eastAsia="標楷體" w:hAnsi="標楷體" w:hint="eastAsia"/>
        </w:rPr>
        <w:t>金融監督管理委員會金管證投字第</w:t>
      </w:r>
      <w:r w:rsidRPr="00F96323">
        <w:rPr>
          <w:rFonts w:ascii="標楷體" w:eastAsia="標楷體" w:hAnsi="標楷體"/>
        </w:rPr>
        <w:t>1010054388</w:t>
      </w:r>
      <w:r w:rsidRPr="00DA500C">
        <w:rPr>
          <w:rFonts w:ascii="標楷體" w:eastAsia="標楷體" w:hAnsi="標楷體" w:hint="eastAsia"/>
        </w:rPr>
        <w:t>號函准予備查</w:t>
      </w:r>
    </w:p>
    <w:tbl>
      <w:tblPr>
        <w:tblW w:w="8820"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20"/>
      </w:tblPr>
      <w:tblGrid>
        <w:gridCol w:w="2940"/>
        <w:gridCol w:w="2940"/>
        <w:gridCol w:w="2940"/>
      </w:tblGrid>
      <w:tr w:rsidR="00281ED0" w:rsidRPr="001522D1" w:rsidTr="00705536">
        <w:trPr>
          <w:tblHeader/>
        </w:trPr>
        <w:tc>
          <w:tcPr>
            <w:tcW w:w="2940" w:type="dxa"/>
            <w:vAlign w:val="center"/>
          </w:tcPr>
          <w:p w:rsidR="00281ED0" w:rsidRPr="00037FA6" w:rsidRDefault="00281ED0" w:rsidP="00115202">
            <w:pPr>
              <w:spacing w:afterLines="30"/>
              <w:jc w:val="center"/>
              <w:rPr>
                <w:rFonts w:ascii="標楷體" w:eastAsia="標楷體" w:hAnsi="標楷體"/>
                <w:szCs w:val="24"/>
              </w:rPr>
            </w:pPr>
            <w:r w:rsidRPr="00037FA6">
              <w:rPr>
                <w:rFonts w:ascii="標楷體" w:eastAsia="標楷體" w:hAnsi="標楷體" w:hint="eastAsia"/>
                <w:szCs w:val="24"/>
              </w:rPr>
              <w:t>範本</w:t>
            </w:r>
          </w:p>
        </w:tc>
        <w:tc>
          <w:tcPr>
            <w:tcW w:w="2940" w:type="dxa"/>
            <w:vAlign w:val="center"/>
          </w:tcPr>
          <w:p w:rsidR="00281ED0" w:rsidRPr="00037FA6" w:rsidRDefault="00281ED0" w:rsidP="00115202">
            <w:pPr>
              <w:spacing w:afterLines="30"/>
              <w:jc w:val="center"/>
              <w:rPr>
                <w:rFonts w:ascii="標楷體" w:eastAsia="標楷體" w:hAnsi="標楷體"/>
                <w:szCs w:val="24"/>
              </w:rPr>
            </w:pPr>
            <w:r w:rsidRPr="00037FA6">
              <w:rPr>
                <w:rFonts w:ascii="標楷體" w:eastAsia="標楷體" w:hAnsi="標楷體" w:hint="eastAsia"/>
                <w:szCs w:val="24"/>
              </w:rPr>
              <w:t>現行投顧委任契約書樣本</w:t>
            </w:r>
          </w:p>
        </w:tc>
        <w:tc>
          <w:tcPr>
            <w:tcW w:w="2940" w:type="dxa"/>
            <w:vAlign w:val="center"/>
          </w:tcPr>
          <w:p w:rsidR="00281ED0" w:rsidRPr="00037FA6" w:rsidRDefault="00281ED0" w:rsidP="00115202">
            <w:pPr>
              <w:spacing w:afterLines="30"/>
              <w:jc w:val="center"/>
              <w:rPr>
                <w:rFonts w:ascii="標楷體" w:eastAsia="標楷體" w:hAnsi="標楷體"/>
                <w:szCs w:val="24"/>
              </w:rPr>
            </w:pPr>
            <w:r w:rsidRPr="00037FA6">
              <w:rPr>
                <w:rFonts w:ascii="標楷體" w:eastAsia="標楷體" w:hAnsi="標楷體" w:hint="eastAsia"/>
                <w:szCs w:val="24"/>
              </w:rPr>
              <w:t>理</w:t>
            </w:r>
            <w:r w:rsidRPr="00037FA6">
              <w:rPr>
                <w:rFonts w:ascii="標楷體" w:eastAsia="標楷體" w:hAnsi="標楷體"/>
                <w:szCs w:val="24"/>
              </w:rPr>
              <w:t xml:space="preserve">  </w:t>
            </w:r>
            <w:r w:rsidRPr="00037FA6">
              <w:rPr>
                <w:rFonts w:ascii="標楷體" w:eastAsia="標楷體" w:hAnsi="標楷體" w:hint="eastAsia"/>
                <w:szCs w:val="24"/>
              </w:rPr>
              <w:t>由</w:t>
            </w:r>
          </w:p>
        </w:tc>
      </w:tr>
      <w:tr w:rsidR="00281ED0" w:rsidRPr="001522D1" w:rsidTr="00705536">
        <w:trPr>
          <w:trHeight w:val="6195"/>
        </w:trPr>
        <w:tc>
          <w:tcPr>
            <w:tcW w:w="2940" w:type="dxa"/>
            <w:tcBorders>
              <w:bottom w:val="single" w:sz="4" w:space="0" w:color="auto"/>
            </w:tcBorders>
          </w:tcPr>
          <w:p w:rsidR="00281ED0" w:rsidRPr="00037FA6" w:rsidRDefault="00281ED0" w:rsidP="00115202">
            <w:pPr>
              <w:spacing w:afterLines="30" w:line="440" w:lineRule="exact"/>
              <w:jc w:val="both"/>
              <w:rPr>
                <w:rFonts w:ascii="Times New Roman" w:eastAsia="標楷體" w:hAnsi="Times New Roman"/>
                <w:color w:val="000000"/>
                <w:szCs w:val="24"/>
              </w:rPr>
            </w:pPr>
            <w:r w:rsidRPr="00037FA6">
              <w:rPr>
                <w:rFonts w:ascii="Times New Roman" w:eastAsia="標楷體" w:hAnsi="Times New Roman" w:hint="eastAsia"/>
                <w:color w:val="000000"/>
                <w:szCs w:val="24"/>
              </w:rPr>
              <w:t>立契約書人</w:t>
            </w:r>
            <w:r w:rsidRPr="00037FA6">
              <w:rPr>
                <w:rFonts w:ascii="Times New Roman" w:eastAsia="標楷體" w:hAnsi="Times New Roman"/>
                <w:color w:val="000000"/>
                <w:szCs w:val="24"/>
              </w:rPr>
              <w:t xml:space="preserve">                               __________</w:t>
            </w:r>
            <w:r w:rsidRPr="00037FA6">
              <w:rPr>
                <w:rFonts w:ascii="Times New Roman" w:eastAsia="標楷體" w:hAnsi="Times New Roman" w:hint="eastAsia"/>
                <w:color w:val="000000"/>
                <w:szCs w:val="24"/>
              </w:rPr>
              <w:t>（以下簡稱甲方），</w:t>
            </w:r>
            <w:r w:rsidRPr="00037FA6">
              <w:rPr>
                <w:rFonts w:ascii="Times New Roman" w:eastAsia="標楷體" w:hAnsi="Times New Roman"/>
                <w:color w:val="000000"/>
                <w:szCs w:val="24"/>
              </w:rPr>
              <w:t xml:space="preserve">__________ </w:t>
            </w:r>
            <w:r w:rsidRPr="00037FA6">
              <w:rPr>
                <w:rFonts w:ascii="Times New Roman" w:eastAsia="標楷體" w:hAnsi="Times New Roman" w:hint="eastAsia"/>
                <w:color w:val="000000"/>
                <w:szCs w:val="24"/>
              </w:rPr>
              <w:t>證券投資顧問股份有限公司（以下簡稱乙方），</w:t>
            </w:r>
          </w:p>
          <w:p w:rsidR="00281ED0" w:rsidRPr="00037FA6" w:rsidRDefault="00281ED0" w:rsidP="00115202">
            <w:pPr>
              <w:spacing w:afterLines="30" w:line="440" w:lineRule="exact"/>
              <w:jc w:val="both"/>
              <w:rPr>
                <w:rFonts w:ascii="Times New Roman" w:eastAsia="標楷體" w:hAnsi="Times New Roman"/>
                <w:color w:val="000000"/>
                <w:szCs w:val="24"/>
              </w:rPr>
            </w:pPr>
            <w:r w:rsidRPr="00037FA6">
              <w:rPr>
                <w:rFonts w:ascii="Times New Roman" w:eastAsia="標楷體" w:hAnsi="Times New Roman" w:hint="eastAsia"/>
                <w:color w:val="000000"/>
                <w:szCs w:val="24"/>
              </w:rPr>
              <w:t>茲因甲方就投資□國內</w:t>
            </w:r>
            <w:r w:rsidRPr="00037FA6">
              <w:rPr>
                <w:rFonts w:ascii="Times New Roman" w:eastAsia="標楷體" w:hAnsi="Times New Roman"/>
                <w:color w:val="000000"/>
                <w:szCs w:val="24"/>
              </w:rPr>
              <w:t xml:space="preserve"> </w:t>
            </w:r>
            <w:r w:rsidRPr="00037FA6">
              <w:rPr>
                <w:rFonts w:ascii="Times New Roman" w:eastAsia="標楷體" w:hAnsi="Times New Roman" w:hint="eastAsia"/>
                <w:color w:val="000000"/>
                <w:szCs w:val="24"/>
              </w:rPr>
              <w:t>□國外</w:t>
            </w:r>
            <w:r w:rsidRPr="00037FA6">
              <w:rPr>
                <w:rFonts w:ascii="Times New Roman" w:eastAsia="標楷體" w:hAnsi="Times New Roman"/>
                <w:color w:val="000000"/>
                <w:szCs w:val="24"/>
              </w:rPr>
              <w:t xml:space="preserve"> </w:t>
            </w:r>
            <w:r w:rsidRPr="00037FA6">
              <w:rPr>
                <w:rFonts w:ascii="Times New Roman" w:eastAsia="標楷體" w:hAnsi="Times New Roman" w:hint="eastAsia"/>
                <w:color w:val="000000"/>
                <w:szCs w:val="24"/>
              </w:rPr>
              <w:t>□國內外之有價證券</w:t>
            </w:r>
            <w:r w:rsidRPr="00037FA6">
              <w:rPr>
                <w:rFonts w:ascii="Times New Roman" w:eastAsia="標楷體" w:hAnsi="Times New Roman"/>
                <w:color w:val="000000"/>
                <w:szCs w:val="24"/>
                <w:u w:val="single"/>
              </w:rPr>
              <w:t>(</w:t>
            </w:r>
            <w:r w:rsidRPr="00037FA6">
              <w:rPr>
                <w:rFonts w:ascii="Times New Roman" w:eastAsia="標楷體" w:hAnsi="Times New Roman" w:hint="eastAsia"/>
                <w:color w:val="000000"/>
                <w:szCs w:val="24"/>
                <w:u w:val="single"/>
              </w:rPr>
              <w:t>□含</w:t>
            </w:r>
            <w:r w:rsidRPr="00037FA6">
              <w:rPr>
                <w:rFonts w:ascii="Times New Roman" w:eastAsia="標楷體" w:hAnsi="Times New Roman"/>
                <w:color w:val="000000"/>
                <w:szCs w:val="24"/>
                <w:u w:val="single"/>
              </w:rPr>
              <w:t xml:space="preserve"> </w:t>
            </w:r>
            <w:r w:rsidRPr="00037FA6">
              <w:rPr>
                <w:rFonts w:ascii="Times New Roman" w:eastAsia="標楷體" w:hAnsi="Times New Roman" w:hint="eastAsia"/>
                <w:color w:val="000000"/>
                <w:szCs w:val="24"/>
                <w:u w:val="single"/>
              </w:rPr>
              <w:t>□不含認購</w:t>
            </w:r>
            <w:r w:rsidRPr="00037FA6">
              <w:rPr>
                <w:rFonts w:ascii="Times New Roman" w:eastAsia="標楷體" w:hAnsi="Times New Roman"/>
                <w:color w:val="000000"/>
                <w:szCs w:val="24"/>
                <w:u w:val="single"/>
              </w:rPr>
              <w:t>(</w:t>
            </w:r>
            <w:r w:rsidRPr="00037FA6">
              <w:rPr>
                <w:rFonts w:ascii="Times New Roman" w:eastAsia="標楷體" w:hAnsi="Times New Roman" w:hint="eastAsia"/>
                <w:color w:val="000000"/>
                <w:szCs w:val="24"/>
                <w:u w:val="single"/>
              </w:rPr>
              <w:t>售</w:t>
            </w:r>
            <w:r w:rsidRPr="00037FA6">
              <w:rPr>
                <w:rFonts w:ascii="Times New Roman" w:eastAsia="標楷體" w:hAnsi="Times New Roman"/>
                <w:color w:val="000000"/>
                <w:szCs w:val="24"/>
                <w:u w:val="single"/>
              </w:rPr>
              <w:t>)</w:t>
            </w:r>
            <w:r w:rsidRPr="00037FA6">
              <w:rPr>
                <w:rFonts w:ascii="Times New Roman" w:eastAsia="標楷體" w:hAnsi="Times New Roman" w:hint="eastAsia"/>
                <w:color w:val="000000"/>
                <w:szCs w:val="24"/>
                <w:u w:val="single"/>
              </w:rPr>
              <w:t>權證</w:t>
            </w:r>
            <w:r w:rsidRPr="00037FA6">
              <w:rPr>
                <w:rFonts w:ascii="Times New Roman" w:eastAsia="標楷體" w:hAnsi="Times New Roman"/>
                <w:color w:val="000000"/>
                <w:szCs w:val="24"/>
                <w:u w:val="single"/>
              </w:rPr>
              <w:t>)</w:t>
            </w:r>
            <w:r w:rsidRPr="00037FA6">
              <w:rPr>
                <w:rFonts w:ascii="Times New Roman" w:eastAsia="標楷體" w:hAnsi="Times New Roman" w:hint="eastAsia"/>
                <w:color w:val="000000"/>
                <w:szCs w:val="24"/>
              </w:rPr>
              <w:t>，委任乙方提供投資諮詢顧問服務事項，乙方已於本契約簽訂三日前交付本契約及相關附件供甲方審閱，雙方同意約定條款如下：</w:t>
            </w:r>
          </w:p>
          <w:p w:rsidR="00281ED0" w:rsidRPr="00037FA6" w:rsidRDefault="00281ED0" w:rsidP="00115202">
            <w:pPr>
              <w:spacing w:afterLines="30" w:line="440" w:lineRule="exact"/>
              <w:jc w:val="both"/>
              <w:rPr>
                <w:rFonts w:ascii="Times New Roman" w:eastAsia="標楷體" w:hAnsi="Times New Roman"/>
                <w:color w:val="000000"/>
                <w:szCs w:val="24"/>
              </w:rPr>
            </w:pPr>
            <w:r w:rsidRPr="00037FA6">
              <w:rPr>
                <w:rFonts w:ascii="Times New Roman" w:eastAsia="標楷體" w:hAnsi="Times New Roman" w:hint="eastAsia"/>
                <w:color w:val="000000"/>
                <w:szCs w:val="24"/>
              </w:rPr>
              <w:t>第一條</w:t>
            </w:r>
          </w:p>
          <w:p w:rsidR="00281ED0" w:rsidRPr="00037FA6" w:rsidRDefault="00281ED0" w:rsidP="00115202">
            <w:pPr>
              <w:spacing w:afterLines="30" w:line="440" w:lineRule="exact"/>
              <w:jc w:val="both"/>
              <w:rPr>
                <w:rFonts w:ascii="Times New Roman" w:eastAsia="標楷體" w:hAnsi="Times New Roman"/>
                <w:color w:val="000000"/>
                <w:szCs w:val="24"/>
              </w:rPr>
            </w:pPr>
            <w:r w:rsidRPr="00037FA6">
              <w:rPr>
                <w:rFonts w:ascii="Times New Roman" w:eastAsia="標楷體" w:hAnsi="Times New Roman"/>
                <w:color w:val="000000"/>
                <w:szCs w:val="24"/>
              </w:rPr>
              <w:t xml:space="preserve">   </w:t>
            </w:r>
            <w:r w:rsidRPr="00037FA6">
              <w:rPr>
                <w:rFonts w:ascii="Times New Roman" w:eastAsia="標楷體" w:hAnsi="Times New Roman" w:hint="eastAsia"/>
                <w:color w:val="000000"/>
                <w:szCs w:val="24"/>
              </w:rPr>
              <w:t>顧問服務之範圍及方式：</w:t>
            </w:r>
          </w:p>
          <w:p w:rsidR="00281ED0" w:rsidRPr="00037FA6" w:rsidRDefault="00281ED0" w:rsidP="00115202">
            <w:pPr>
              <w:spacing w:afterLines="30" w:line="440" w:lineRule="exact"/>
              <w:jc w:val="both"/>
              <w:rPr>
                <w:rFonts w:ascii="Times New Roman" w:eastAsia="標楷體" w:hAnsi="Times New Roman"/>
                <w:color w:val="000000"/>
                <w:szCs w:val="24"/>
              </w:rPr>
            </w:pPr>
            <w:r w:rsidRPr="00037FA6">
              <w:rPr>
                <w:rFonts w:ascii="Times New Roman" w:eastAsia="標楷體" w:hAnsi="Times New Roman" w:hint="eastAsia"/>
                <w:color w:val="000000"/>
                <w:szCs w:val="24"/>
              </w:rPr>
              <w:t>（一）</w:t>
            </w:r>
            <w:r w:rsidRPr="00037FA6">
              <w:rPr>
                <w:rFonts w:ascii="Times New Roman" w:eastAsia="標楷體" w:hAnsi="Times New Roman"/>
                <w:color w:val="000000"/>
                <w:szCs w:val="24"/>
              </w:rPr>
              <w:tab/>
            </w:r>
            <w:r w:rsidRPr="00037FA6">
              <w:rPr>
                <w:rFonts w:ascii="Times New Roman" w:eastAsia="標楷體" w:hAnsi="Times New Roman" w:hint="eastAsia"/>
                <w:color w:val="000000"/>
                <w:szCs w:val="24"/>
              </w:rPr>
              <w:t>乙方須交付客戶資料表（如附件</w:t>
            </w:r>
            <w:r w:rsidRPr="00037FA6">
              <w:rPr>
                <w:rFonts w:ascii="Times New Roman" w:eastAsia="標楷體" w:hAnsi="Times New Roman" w:hint="eastAsia"/>
                <w:color w:val="000000"/>
                <w:szCs w:val="24"/>
                <w:u w:val="single"/>
              </w:rPr>
              <w:t>一</w:t>
            </w:r>
            <w:r w:rsidRPr="00037FA6">
              <w:rPr>
                <w:rFonts w:ascii="Times New Roman" w:eastAsia="標楷體" w:hAnsi="Times New Roman" w:hint="eastAsia"/>
                <w:color w:val="000000"/>
                <w:szCs w:val="24"/>
              </w:rPr>
              <w:t>）予甲方填具，應確認甲方為專業投資人或非專業投資人（須檢附相關證明文件），充分知悉並評估甲方之投資知識、投資經驗、財務狀況及其承受投資風險程度。</w:t>
            </w:r>
          </w:p>
          <w:p w:rsidR="00281ED0" w:rsidRPr="00037FA6" w:rsidRDefault="00281ED0" w:rsidP="00115202">
            <w:pPr>
              <w:spacing w:afterLines="30" w:line="440" w:lineRule="exact"/>
              <w:jc w:val="both"/>
              <w:rPr>
                <w:rFonts w:ascii="Times New Roman" w:eastAsia="標楷體" w:hAnsi="Times New Roman"/>
                <w:color w:val="000000"/>
                <w:szCs w:val="24"/>
              </w:rPr>
            </w:pPr>
            <w:r w:rsidRPr="00037FA6">
              <w:rPr>
                <w:rFonts w:ascii="Times New Roman" w:eastAsia="標楷體" w:hAnsi="Times New Roman" w:hint="eastAsia"/>
                <w:color w:val="000000"/>
                <w:szCs w:val="24"/>
              </w:rPr>
              <w:t>（二）</w:t>
            </w:r>
            <w:r w:rsidRPr="00037FA6">
              <w:rPr>
                <w:rFonts w:ascii="Times New Roman" w:eastAsia="標楷體" w:hAnsi="Times New Roman"/>
                <w:color w:val="000000"/>
                <w:szCs w:val="24"/>
              </w:rPr>
              <w:tab/>
            </w:r>
            <w:r w:rsidRPr="00037FA6">
              <w:rPr>
                <w:rFonts w:ascii="Times New Roman" w:eastAsia="標楷體" w:hAnsi="Times New Roman" w:hint="eastAsia"/>
                <w:color w:val="000000"/>
                <w:szCs w:val="24"/>
              </w:rPr>
              <w:t>乙方提供甲方各種有價證券之投資研究分析或建議服務，如提供外國有價證券投資顧問服務時，有關外國有價證券之範圍（包含證券種類、原發行國家或地區、基金經理公司及投資標的等）除應符合「經營外國有價證券投資顧問業務者提供顧問外國有價證券之種類及範圍」及相關函令之規定外，並依雙方協議另以附件定之，本合約所有附件均為本合約之一部分。</w:t>
            </w:r>
          </w:p>
          <w:p w:rsidR="00281ED0" w:rsidRPr="00B03A92" w:rsidRDefault="00281ED0" w:rsidP="00115202">
            <w:pPr>
              <w:spacing w:afterLines="30" w:line="440" w:lineRule="exact"/>
              <w:jc w:val="both"/>
              <w:rPr>
                <w:rFonts w:ascii="Times New Roman" w:eastAsia="標楷體" w:hAnsi="Times New Roman"/>
                <w:color w:val="000000"/>
                <w:szCs w:val="24"/>
                <w:u w:val="single"/>
              </w:rPr>
            </w:pPr>
            <w:r w:rsidRPr="00037FA6">
              <w:rPr>
                <w:rFonts w:ascii="Times New Roman" w:eastAsia="標楷體" w:hAnsi="Times New Roman" w:hint="eastAsia"/>
                <w:color w:val="000000"/>
                <w:szCs w:val="24"/>
                <w:u w:val="single"/>
              </w:rPr>
              <w:t>（三）</w:t>
            </w:r>
            <w:r w:rsidRPr="00037FA6">
              <w:rPr>
                <w:rFonts w:ascii="Times New Roman" w:eastAsia="標楷體" w:hAnsi="Times New Roman"/>
                <w:color w:val="000000"/>
                <w:szCs w:val="24"/>
                <w:u w:val="single"/>
              </w:rPr>
              <w:tab/>
            </w:r>
            <w:r w:rsidRPr="00037FA6">
              <w:rPr>
                <w:rFonts w:ascii="Times New Roman" w:eastAsia="標楷體" w:hAnsi="Times New Roman" w:hint="eastAsia"/>
                <w:color w:val="000000"/>
                <w:szCs w:val="24"/>
                <w:u w:val="single"/>
              </w:rPr>
              <w:t>乙方提供甲方認購</w:t>
            </w:r>
            <w:r w:rsidRPr="00037FA6">
              <w:rPr>
                <w:rFonts w:ascii="Times New Roman" w:eastAsia="標楷體" w:hAnsi="Times New Roman"/>
                <w:color w:val="000000"/>
                <w:szCs w:val="24"/>
                <w:u w:val="single"/>
              </w:rPr>
              <w:t>(</w:t>
            </w:r>
            <w:r w:rsidRPr="00037FA6">
              <w:rPr>
                <w:rFonts w:ascii="Times New Roman" w:eastAsia="標楷體" w:hAnsi="Times New Roman" w:hint="eastAsia"/>
                <w:color w:val="000000"/>
                <w:szCs w:val="24"/>
                <w:u w:val="single"/>
              </w:rPr>
              <w:t>售</w:t>
            </w:r>
            <w:r w:rsidRPr="00037FA6">
              <w:rPr>
                <w:rFonts w:ascii="Times New Roman" w:eastAsia="標楷體" w:hAnsi="Times New Roman"/>
                <w:color w:val="000000"/>
                <w:szCs w:val="24"/>
                <w:u w:val="single"/>
              </w:rPr>
              <w:t>)</w:t>
            </w:r>
            <w:r w:rsidRPr="00037FA6">
              <w:rPr>
                <w:rFonts w:ascii="Times New Roman" w:eastAsia="標楷體" w:hAnsi="Times New Roman" w:hint="eastAsia"/>
                <w:color w:val="000000"/>
                <w:szCs w:val="24"/>
                <w:u w:val="single"/>
              </w:rPr>
              <w:t>權證投資顧問服務時，乙方須交付認購</w:t>
            </w:r>
            <w:r w:rsidRPr="00037FA6">
              <w:rPr>
                <w:rFonts w:ascii="Times New Roman" w:eastAsia="標楷體" w:hAnsi="Times New Roman"/>
                <w:color w:val="000000"/>
                <w:szCs w:val="24"/>
                <w:u w:val="single"/>
              </w:rPr>
              <w:t>(</w:t>
            </w:r>
            <w:r w:rsidRPr="00037FA6">
              <w:rPr>
                <w:rFonts w:ascii="Times New Roman" w:eastAsia="標楷體" w:hAnsi="Times New Roman" w:hint="eastAsia"/>
                <w:color w:val="000000"/>
                <w:szCs w:val="24"/>
                <w:u w:val="single"/>
              </w:rPr>
              <w:t>售</w:t>
            </w:r>
            <w:r w:rsidRPr="00037FA6">
              <w:rPr>
                <w:rFonts w:ascii="Times New Roman" w:eastAsia="標楷體" w:hAnsi="Times New Roman"/>
                <w:color w:val="000000"/>
                <w:szCs w:val="24"/>
                <w:u w:val="single"/>
              </w:rPr>
              <w:t>)</w:t>
            </w:r>
            <w:r w:rsidRPr="00037FA6">
              <w:rPr>
                <w:rFonts w:ascii="Times New Roman" w:eastAsia="標楷體" w:hAnsi="Times New Roman" w:hint="eastAsia"/>
                <w:color w:val="000000"/>
                <w:szCs w:val="24"/>
                <w:u w:val="single"/>
              </w:rPr>
              <w:t>權證投資顧問服務風險預告書</w:t>
            </w:r>
            <w:r w:rsidRPr="00037FA6">
              <w:rPr>
                <w:rFonts w:ascii="Times New Roman" w:eastAsia="標楷體" w:hAnsi="Times New Roman"/>
                <w:color w:val="000000"/>
                <w:szCs w:val="24"/>
                <w:u w:val="single"/>
              </w:rPr>
              <w:t>(</w:t>
            </w:r>
            <w:r w:rsidRPr="00037FA6">
              <w:rPr>
                <w:rFonts w:ascii="Times New Roman" w:eastAsia="標楷體" w:hAnsi="Times New Roman" w:hint="eastAsia"/>
                <w:color w:val="000000"/>
                <w:szCs w:val="24"/>
                <w:u w:val="single"/>
              </w:rPr>
              <w:t>如附件二</w:t>
            </w:r>
            <w:r w:rsidRPr="00037FA6">
              <w:rPr>
                <w:rFonts w:ascii="Times New Roman" w:eastAsia="標楷體" w:hAnsi="Times New Roman"/>
                <w:color w:val="000000"/>
                <w:szCs w:val="24"/>
                <w:u w:val="single"/>
              </w:rPr>
              <w:t>)</w:t>
            </w:r>
            <w:r w:rsidRPr="00037FA6">
              <w:rPr>
                <w:rFonts w:ascii="Times New Roman" w:eastAsia="標楷體" w:hAnsi="Times New Roman" w:hint="eastAsia"/>
                <w:color w:val="000000"/>
                <w:szCs w:val="24"/>
                <w:u w:val="single"/>
              </w:rPr>
              <w:t>，並詳細告知其投資權證之相關風險。</w:t>
            </w:r>
            <w:r w:rsidRPr="00037FA6">
              <w:rPr>
                <w:rFonts w:ascii="Times New Roman" w:eastAsia="標楷體" w:hAnsi="Times New Roman"/>
                <w:color w:val="000000"/>
                <w:szCs w:val="24"/>
                <w:u w:val="single"/>
              </w:rPr>
              <w:t xml:space="preserve"> </w:t>
            </w:r>
          </w:p>
          <w:p w:rsidR="00281ED0" w:rsidRPr="00037FA6" w:rsidRDefault="00281ED0" w:rsidP="00115202">
            <w:pPr>
              <w:spacing w:afterLines="30" w:line="440" w:lineRule="exact"/>
              <w:jc w:val="both"/>
              <w:rPr>
                <w:rFonts w:ascii="Times New Roman" w:eastAsia="標楷體" w:hAnsi="Times New Roman"/>
                <w:color w:val="000000"/>
                <w:szCs w:val="24"/>
              </w:rPr>
            </w:pPr>
            <w:r w:rsidRPr="00037FA6">
              <w:rPr>
                <w:rFonts w:ascii="Times New Roman" w:eastAsia="標楷體" w:hAnsi="Times New Roman" w:hint="eastAsia"/>
                <w:color w:val="000000"/>
                <w:szCs w:val="24"/>
                <w:u w:val="single"/>
              </w:rPr>
              <w:t>（四）</w:t>
            </w:r>
            <w:r w:rsidRPr="00037FA6">
              <w:rPr>
                <w:rFonts w:ascii="Times New Roman" w:eastAsia="標楷體" w:hAnsi="Times New Roman"/>
                <w:color w:val="000000"/>
                <w:szCs w:val="24"/>
                <w:u w:val="single"/>
              </w:rPr>
              <w:tab/>
            </w:r>
            <w:r w:rsidRPr="00037FA6">
              <w:rPr>
                <w:rFonts w:ascii="Times New Roman" w:eastAsia="標楷體" w:hAnsi="Times New Roman" w:hint="eastAsia"/>
                <w:color w:val="000000"/>
                <w:szCs w:val="24"/>
              </w:rPr>
              <w:t>乙方除於訂定本契約時應交付甲方相關資料（如提供外國有價證券投資顧問服務，並應交付「投資人須知」，</w:t>
            </w:r>
            <w:r w:rsidRPr="00037FA6">
              <w:rPr>
                <w:rFonts w:ascii="Times New Roman" w:eastAsia="標楷體" w:hAnsi="Times New Roman" w:hint="eastAsia"/>
                <w:color w:val="000000"/>
                <w:szCs w:val="24"/>
                <w:u w:val="single"/>
              </w:rPr>
              <w:t>提供認購</w:t>
            </w:r>
            <w:r w:rsidRPr="00037FA6">
              <w:rPr>
                <w:rFonts w:ascii="Times New Roman" w:eastAsia="標楷體" w:hAnsi="Times New Roman"/>
                <w:color w:val="000000"/>
                <w:szCs w:val="24"/>
                <w:u w:val="single"/>
              </w:rPr>
              <w:t>(</w:t>
            </w:r>
            <w:r w:rsidRPr="00037FA6">
              <w:rPr>
                <w:rFonts w:ascii="Times New Roman" w:eastAsia="標楷體" w:hAnsi="Times New Roman" w:hint="eastAsia"/>
                <w:color w:val="000000"/>
                <w:szCs w:val="24"/>
                <w:u w:val="single"/>
              </w:rPr>
              <w:t>售）權證顧問服務，應交付「風險預告書」</w:t>
            </w:r>
            <w:r w:rsidRPr="00037FA6">
              <w:rPr>
                <w:rFonts w:ascii="Times New Roman" w:eastAsia="標楷體" w:hAnsi="Times New Roman" w:hint="eastAsia"/>
                <w:color w:val="000000"/>
                <w:szCs w:val="24"/>
              </w:rPr>
              <w:t>）及相關附件外，就本契約規定之顧問內容，得以下列方式提供有關之研究分析意見或建議：</w:t>
            </w:r>
            <w:r w:rsidRPr="00037FA6">
              <w:rPr>
                <w:rFonts w:ascii="Times New Roman" w:eastAsia="標楷體" w:hAnsi="Times New Roman"/>
                <w:color w:val="000000"/>
                <w:szCs w:val="24"/>
              </w:rPr>
              <w:t>(</w:t>
            </w:r>
            <w:r w:rsidRPr="00037FA6">
              <w:rPr>
                <w:rFonts w:ascii="Times New Roman" w:eastAsia="標楷體" w:hAnsi="Times New Roman" w:hint="eastAsia"/>
                <w:color w:val="000000"/>
                <w:szCs w:val="24"/>
              </w:rPr>
              <w:t>略</w:t>
            </w:r>
            <w:r w:rsidRPr="00037FA6">
              <w:rPr>
                <w:rFonts w:ascii="Times New Roman" w:eastAsia="標楷體" w:hAnsi="Times New Roman"/>
                <w:color w:val="000000"/>
                <w:szCs w:val="24"/>
              </w:rPr>
              <w:t>)</w:t>
            </w:r>
          </w:p>
          <w:p w:rsidR="00281ED0" w:rsidRPr="00037FA6" w:rsidRDefault="00281ED0" w:rsidP="00115202">
            <w:pPr>
              <w:spacing w:afterLines="30" w:line="440" w:lineRule="exact"/>
              <w:jc w:val="both"/>
              <w:rPr>
                <w:rFonts w:ascii="Times New Roman" w:eastAsia="標楷體" w:hAnsi="Times New Roman"/>
                <w:color w:val="000000"/>
                <w:szCs w:val="24"/>
              </w:rPr>
            </w:pPr>
          </w:p>
          <w:p w:rsidR="00281ED0" w:rsidRPr="00037FA6" w:rsidRDefault="00281ED0" w:rsidP="00115202">
            <w:pPr>
              <w:spacing w:afterLines="30" w:line="440" w:lineRule="exact"/>
              <w:jc w:val="center"/>
              <w:rPr>
                <w:rFonts w:ascii="Times New Roman" w:eastAsia="標楷體" w:hAnsi="Times New Roman"/>
                <w:color w:val="000000"/>
                <w:szCs w:val="24"/>
              </w:rPr>
            </w:pPr>
            <w:r w:rsidRPr="00037FA6">
              <w:rPr>
                <w:rFonts w:ascii="Times New Roman" w:eastAsia="標楷體" w:hAnsi="Times New Roman"/>
                <w:color w:val="000000"/>
                <w:szCs w:val="24"/>
              </w:rPr>
              <w:t>(</w:t>
            </w:r>
            <w:r w:rsidRPr="00037FA6">
              <w:rPr>
                <w:rFonts w:ascii="Times New Roman" w:eastAsia="標楷體" w:hAnsi="Times New Roman" w:hint="eastAsia"/>
                <w:color w:val="000000"/>
                <w:szCs w:val="24"/>
              </w:rPr>
              <w:t>第二條至第三條略</w:t>
            </w:r>
            <w:r w:rsidRPr="00037FA6">
              <w:rPr>
                <w:rFonts w:ascii="Times New Roman" w:eastAsia="標楷體" w:hAnsi="Times New Roman"/>
                <w:color w:val="000000"/>
                <w:szCs w:val="24"/>
              </w:rPr>
              <w:t>)</w:t>
            </w:r>
          </w:p>
          <w:p w:rsidR="00281ED0" w:rsidRPr="00037FA6" w:rsidRDefault="00281ED0" w:rsidP="00115202">
            <w:pPr>
              <w:spacing w:afterLines="30" w:line="440" w:lineRule="exact"/>
              <w:jc w:val="both"/>
              <w:rPr>
                <w:rFonts w:ascii="Times New Roman" w:eastAsia="標楷體" w:hAnsi="Times New Roman"/>
                <w:color w:val="000000"/>
                <w:szCs w:val="24"/>
              </w:rPr>
            </w:pPr>
          </w:p>
          <w:p w:rsidR="00281ED0" w:rsidRPr="00037FA6" w:rsidRDefault="00281ED0" w:rsidP="00115202">
            <w:pPr>
              <w:spacing w:afterLines="30" w:line="440" w:lineRule="exact"/>
              <w:rPr>
                <w:rFonts w:ascii="Times New Roman" w:eastAsia="標楷體" w:hAnsi="Times New Roman"/>
                <w:color w:val="000000"/>
                <w:szCs w:val="24"/>
              </w:rPr>
            </w:pPr>
            <w:r w:rsidRPr="00037FA6">
              <w:rPr>
                <w:rFonts w:ascii="Times New Roman" w:eastAsia="標楷體" w:hAnsi="Times New Roman" w:hint="eastAsia"/>
                <w:color w:val="000000"/>
                <w:szCs w:val="24"/>
              </w:rPr>
              <w:t>第四條</w:t>
            </w:r>
          </w:p>
          <w:p w:rsidR="00281ED0" w:rsidRPr="00037FA6" w:rsidRDefault="00281ED0" w:rsidP="00115202">
            <w:pPr>
              <w:spacing w:afterLines="30" w:line="440" w:lineRule="exact"/>
              <w:rPr>
                <w:rFonts w:ascii="Times New Roman" w:eastAsia="標楷體" w:hAnsi="Times New Roman"/>
                <w:color w:val="000000"/>
                <w:szCs w:val="24"/>
              </w:rPr>
            </w:pPr>
            <w:r w:rsidRPr="00037FA6">
              <w:rPr>
                <w:rFonts w:ascii="Times New Roman" w:eastAsia="標楷體" w:hAnsi="Times New Roman"/>
                <w:color w:val="000000"/>
                <w:szCs w:val="24"/>
              </w:rPr>
              <w:t xml:space="preserve">   </w:t>
            </w:r>
            <w:r w:rsidRPr="00037FA6">
              <w:rPr>
                <w:rFonts w:ascii="Times New Roman" w:eastAsia="標楷體" w:hAnsi="Times New Roman" w:hint="eastAsia"/>
                <w:color w:val="000000"/>
                <w:szCs w:val="24"/>
              </w:rPr>
              <w:t>甲方在簽訂本契約前已詳細閱讀本契約書（顧問外國有價證券者包含「投資人須知」</w:t>
            </w:r>
            <w:r w:rsidRPr="00037FA6">
              <w:rPr>
                <w:rFonts w:ascii="Times New Roman" w:eastAsia="標楷體" w:hAnsi="Times New Roman" w:hint="eastAsia"/>
                <w:color w:val="000000"/>
                <w:szCs w:val="24"/>
                <w:u w:val="single"/>
              </w:rPr>
              <w:t>、顧問認購</w:t>
            </w:r>
            <w:r w:rsidRPr="00037FA6">
              <w:rPr>
                <w:rFonts w:ascii="Times New Roman" w:eastAsia="標楷體" w:hAnsi="Times New Roman"/>
                <w:color w:val="000000"/>
                <w:szCs w:val="24"/>
                <w:u w:val="single"/>
              </w:rPr>
              <w:t>(</w:t>
            </w:r>
            <w:r w:rsidRPr="00037FA6">
              <w:rPr>
                <w:rFonts w:ascii="Times New Roman" w:eastAsia="標楷體" w:hAnsi="Times New Roman" w:hint="eastAsia"/>
                <w:color w:val="000000"/>
                <w:szCs w:val="24"/>
                <w:u w:val="single"/>
              </w:rPr>
              <w:t>售</w:t>
            </w:r>
            <w:r w:rsidRPr="00037FA6">
              <w:rPr>
                <w:rFonts w:ascii="Times New Roman" w:eastAsia="標楷體" w:hAnsi="Times New Roman"/>
                <w:color w:val="000000"/>
                <w:szCs w:val="24"/>
                <w:u w:val="single"/>
              </w:rPr>
              <w:t>)</w:t>
            </w:r>
            <w:r w:rsidRPr="00037FA6">
              <w:rPr>
                <w:rFonts w:ascii="Times New Roman" w:eastAsia="標楷體" w:hAnsi="Times New Roman" w:hint="eastAsia"/>
                <w:color w:val="000000"/>
                <w:szCs w:val="24"/>
                <w:u w:val="single"/>
              </w:rPr>
              <w:t>權證者包含「風險預告書」</w:t>
            </w:r>
            <w:r w:rsidRPr="00037FA6">
              <w:rPr>
                <w:rFonts w:ascii="Times New Roman" w:eastAsia="標楷體" w:hAnsi="Times New Roman" w:hint="eastAsia"/>
                <w:color w:val="000000"/>
                <w:szCs w:val="24"/>
              </w:rPr>
              <w:t>）所記載之內容，並瞭解及同意以下事項：</w:t>
            </w:r>
            <w:r w:rsidRPr="00037FA6">
              <w:rPr>
                <w:rFonts w:ascii="Times New Roman" w:eastAsia="標楷體" w:hAnsi="Times New Roman"/>
                <w:color w:val="000000"/>
                <w:szCs w:val="24"/>
              </w:rPr>
              <w:t xml:space="preserve">         </w:t>
            </w:r>
          </w:p>
          <w:p w:rsidR="00281ED0" w:rsidRPr="00037FA6" w:rsidRDefault="00281ED0" w:rsidP="00115202">
            <w:pPr>
              <w:spacing w:afterLines="30"/>
              <w:rPr>
                <w:rFonts w:ascii="Times New Roman" w:eastAsia="標楷體" w:hAnsi="Times New Roman"/>
                <w:color w:val="000000"/>
                <w:szCs w:val="24"/>
              </w:rPr>
            </w:pPr>
            <w:r w:rsidRPr="00037FA6">
              <w:rPr>
                <w:rFonts w:ascii="Times New Roman" w:eastAsia="標楷體" w:hAnsi="Times New Roman"/>
                <w:color w:val="000000"/>
                <w:szCs w:val="24"/>
              </w:rPr>
              <w:t xml:space="preserve">  </w:t>
            </w:r>
            <w:r w:rsidRPr="00037FA6">
              <w:rPr>
                <w:rFonts w:ascii="Times New Roman" w:eastAsia="標楷體" w:hAnsi="Times New Roman" w:hint="eastAsia"/>
                <w:color w:val="000000"/>
                <w:szCs w:val="24"/>
              </w:rPr>
              <w:t>【（一）至</w:t>
            </w:r>
            <w:r w:rsidRPr="00037FA6">
              <w:rPr>
                <w:rFonts w:ascii="Times New Roman" w:eastAsia="標楷體" w:hAnsi="Times New Roman"/>
                <w:color w:val="000000"/>
                <w:szCs w:val="24"/>
              </w:rPr>
              <w:t>(</w:t>
            </w:r>
            <w:r w:rsidRPr="00037FA6">
              <w:rPr>
                <w:rFonts w:ascii="Times New Roman" w:eastAsia="標楷體" w:hAnsi="Times New Roman" w:hint="eastAsia"/>
                <w:color w:val="000000"/>
                <w:szCs w:val="24"/>
              </w:rPr>
              <w:t>六</w:t>
            </w:r>
            <w:r w:rsidRPr="00037FA6">
              <w:rPr>
                <w:rFonts w:ascii="Times New Roman" w:eastAsia="標楷體" w:hAnsi="Times New Roman"/>
                <w:color w:val="000000"/>
                <w:szCs w:val="24"/>
              </w:rPr>
              <w:t>)</w:t>
            </w:r>
            <w:r w:rsidRPr="00037FA6">
              <w:rPr>
                <w:rFonts w:ascii="Times New Roman" w:eastAsia="標楷體" w:hAnsi="Times New Roman" w:hint="eastAsia"/>
                <w:color w:val="000000"/>
                <w:szCs w:val="24"/>
              </w:rPr>
              <w:t>略</w:t>
            </w:r>
            <w:r w:rsidRPr="00037FA6">
              <w:rPr>
                <w:rFonts w:ascii="Times New Roman" w:eastAsia="標楷體" w:hAnsi="Times New Roman"/>
                <w:color w:val="000000"/>
                <w:szCs w:val="24"/>
              </w:rPr>
              <w:t>)</w:t>
            </w:r>
            <w:r w:rsidRPr="00037FA6">
              <w:rPr>
                <w:rFonts w:ascii="Times New Roman" w:eastAsia="標楷體" w:hAnsi="Times New Roman" w:hint="eastAsia"/>
                <w:color w:val="000000"/>
                <w:szCs w:val="24"/>
              </w:rPr>
              <w:t>】</w:t>
            </w:r>
            <w:r w:rsidRPr="00037FA6">
              <w:rPr>
                <w:rFonts w:ascii="Times New Roman" w:eastAsia="標楷體" w:hAnsi="Times New Roman"/>
                <w:color w:val="000000"/>
                <w:szCs w:val="24"/>
              </w:rPr>
              <w:t xml:space="preserve"> </w:t>
            </w:r>
          </w:p>
        </w:tc>
        <w:tc>
          <w:tcPr>
            <w:tcW w:w="2940" w:type="dxa"/>
            <w:tcBorders>
              <w:bottom w:val="single" w:sz="4" w:space="0" w:color="auto"/>
            </w:tcBorders>
          </w:tcPr>
          <w:p w:rsidR="00281ED0" w:rsidRPr="00037FA6" w:rsidRDefault="00281ED0" w:rsidP="00115202">
            <w:pPr>
              <w:spacing w:afterLines="30" w:line="440" w:lineRule="exact"/>
              <w:jc w:val="both"/>
              <w:rPr>
                <w:rFonts w:ascii="Times New Roman" w:eastAsia="標楷體" w:hAnsi="Times New Roman"/>
                <w:color w:val="000000"/>
                <w:szCs w:val="24"/>
              </w:rPr>
            </w:pPr>
            <w:r w:rsidRPr="00037FA6">
              <w:rPr>
                <w:rFonts w:ascii="Times New Roman" w:eastAsia="標楷體" w:hAnsi="Times New Roman" w:hint="eastAsia"/>
                <w:color w:val="000000"/>
                <w:szCs w:val="24"/>
              </w:rPr>
              <w:t>立契約書人</w:t>
            </w:r>
            <w:r w:rsidRPr="00037FA6">
              <w:rPr>
                <w:rFonts w:ascii="Times New Roman" w:eastAsia="標楷體" w:hAnsi="Times New Roman"/>
                <w:color w:val="000000"/>
                <w:szCs w:val="24"/>
              </w:rPr>
              <w:t xml:space="preserve">                               __________</w:t>
            </w:r>
            <w:r w:rsidRPr="00037FA6">
              <w:rPr>
                <w:rFonts w:ascii="Times New Roman" w:eastAsia="標楷體" w:hAnsi="Times New Roman" w:hint="eastAsia"/>
                <w:color w:val="000000"/>
                <w:szCs w:val="24"/>
              </w:rPr>
              <w:t>（以下簡稱甲方），</w:t>
            </w:r>
            <w:r w:rsidRPr="00037FA6">
              <w:rPr>
                <w:rFonts w:ascii="Times New Roman" w:eastAsia="標楷體" w:hAnsi="Times New Roman"/>
                <w:color w:val="000000"/>
                <w:szCs w:val="24"/>
              </w:rPr>
              <w:t xml:space="preserve">__________ </w:t>
            </w:r>
            <w:r w:rsidRPr="00037FA6">
              <w:rPr>
                <w:rFonts w:ascii="Times New Roman" w:eastAsia="標楷體" w:hAnsi="Times New Roman" w:hint="eastAsia"/>
                <w:color w:val="000000"/>
                <w:szCs w:val="24"/>
              </w:rPr>
              <w:t>證券投資顧問股份有限公司（以下簡稱乙方），</w:t>
            </w:r>
          </w:p>
          <w:p w:rsidR="00281ED0" w:rsidRPr="00037FA6" w:rsidRDefault="00281ED0" w:rsidP="00115202">
            <w:pPr>
              <w:spacing w:afterLines="30" w:line="440" w:lineRule="exact"/>
              <w:jc w:val="both"/>
              <w:rPr>
                <w:rFonts w:ascii="Times New Roman" w:eastAsia="標楷體" w:hAnsi="Times New Roman"/>
                <w:color w:val="000000"/>
                <w:szCs w:val="24"/>
              </w:rPr>
            </w:pPr>
            <w:r w:rsidRPr="00037FA6">
              <w:rPr>
                <w:rFonts w:ascii="Times New Roman" w:eastAsia="標楷體" w:hAnsi="Times New Roman" w:hint="eastAsia"/>
                <w:color w:val="000000"/>
                <w:szCs w:val="24"/>
              </w:rPr>
              <w:t>茲因甲方就投資□國內</w:t>
            </w:r>
            <w:r w:rsidRPr="00037FA6">
              <w:rPr>
                <w:rFonts w:ascii="Times New Roman" w:eastAsia="標楷體" w:hAnsi="Times New Roman"/>
                <w:color w:val="000000"/>
                <w:szCs w:val="24"/>
              </w:rPr>
              <w:t xml:space="preserve"> </w:t>
            </w:r>
            <w:r w:rsidRPr="00037FA6">
              <w:rPr>
                <w:rFonts w:ascii="Times New Roman" w:eastAsia="標楷體" w:hAnsi="Times New Roman" w:hint="eastAsia"/>
                <w:color w:val="000000"/>
                <w:szCs w:val="24"/>
              </w:rPr>
              <w:t>□國外</w:t>
            </w:r>
            <w:r w:rsidRPr="00037FA6">
              <w:rPr>
                <w:rFonts w:ascii="Times New Roman" w:eastAsia="標楷體" w:hAnsi="Times New Roman"/>
                <w:color w:val="000000"/>
                <w:szCs w:val="24"/>
              </w:rPr>
              <w:t xml:space="preserve"> </w:t>
            </w:r>
            <w:r w:rsidRPr="00037FA6">
              <w:rPr>
                <w:rFonts w:ascii="Times New Roman" w:eastAsia="標楷體" w:hAnsi="Times New Roman" w:hint="eastAsia"/>
                <w:color w:val="000000"/>
                <w:szCs w:val="24"/>
              </w:rPr>
              <w:t>□國內外之有價證券，委任乙方提供投資諮詢顧問服務事項，乙方已於本契約簽訂三日前交付本契約及相關附件供甲方審閱，雙方同意約定條款如下：</w:t>
            </w:r>
          </w:p>
          <w:p w:rsidR="00281ED0" w:rsidRPr="00037FA6" w:rsidRDefault="00281ED0" w:rsidP="00115202">
            <w:pPr>
              <w:spacing w:afterLines="30" w:line="440" w:lineRule="exact"/>
              <w:jc w:val="both"/>
              <w:rPr>
                <w:rFonts w:ascii="Times New Roman" w:eastAsia="標楷體" w:hAnsi="Times New Roman"/>
                <w:color w:val="000000"/>
                <w:szCs w:val="24"/>
              </w:rPr>
            </w:pPr>
            <w:r w:rsidRPr="00037FA6">
              <w:rPr>
                <w:rFonts w:ascii="Times New Roman" w:eastAsia="標楷體" w:hAnsi="Times New Roman" w:hint="eastAsia"/>
                <w:color w:val="000000"/>
                <w:szCs w:val="24"/>
              </w:rPr>
              <w:t>第一條</w:t>
            </w:r>
          </w:p>
          <w:p w:rsidR="00281ED0" w:rsidRPr="00037FA6" w:rsidRDefault="00281ED0" w:rsidP="00115202">
            <w:pPr>
              <w:spacing w:afterLines="30" w:line="440" w:lineRule="exact"/>
              <w:jc w:val="both"/>
              <w:rPr>
                <w:rFonts w:ascii="Times New Roman" w:eastAsia="標楷體" w:hAnsi="Times New Roman"/>
                <w:color w:val="000000"/>
                <w:szCs w:val="24"/>
              </w:rPr>
            </w:pPr>
            <w:r w:rsidRPr="00037FA6">
              <w:rPr>
                <w:rFonts w:ascii="Times New Roman" w:eastAsia="標楷體" w:hAnsi="Times New Roman"/>
                <w:color w:val="000000"/>
                <w:szCs w:val="24"/>
              </w:rPr>
              <w:t xml:space="preserve">   </w:t>
            </w:r>
            <w:r w:rsidRPr="00037FA6">
              <w:rPr>
                <w:rFonts w:ascii="Times New Roman" w:eastAsia="標楷體" w:hAnsi="Times New Roman" w:hint="eastAsia"/>
                <w:color w:val="000000"/>
                <w:szCs w:val="24"/>
              </w:rPr>
              <w:t>顧問服務之範圍及方式：</w:t>
            </w:r>
          </w:p>
          <w:p w:rsidR="00281ED0" w:rsidRPr="00037FA6" w:rsidRDefault="00281ED0" w:rsidP="00115202">
            <w:pPr>
              <w:spacing w:afterLines="30" w:line="440" w:lineRule="exact"/>
              <w:jc w:val="both"/>
              <w:rPr>
                <w:rFonts w:ascii="Times New Roman" w:eastAsia="標楷體" w:hAnsi="Times New Roman"/>
                <w:color w:val="000000"/>
                <w:szCs w:val="24"/>
              </w:rPr>
            </w:pPr>
            <w:r w:rsidRPr="00037FA6">
              <w:rPr>
                <w:rFonts w:ascii="Times New Roman" w:eastAsia="標楷體" w:hAnsi="Times New Roman" w:hint="eastAsia"/>
                <w:color w:val="000000"/>
                <w:szCs w:val="24"/>
              </w:rPr>
              <w:t>（一）</w:t>
            </w:r>
            <w:r w:rsidRPr="00037FA6">
              <w:rPr>
                <w:rFonts w:ascii="Times New Roman" w:eastAsia="標楷體" w:hAnsi="Times New Roman"/>
                <w:color w:val="000000"/>
                <w:szCs w:val="24"/>
              </w:rPr>
              <w:tab/>
            </w:r>
            <w:r w:rsidRPr="00037FA6">
              <w:rPr>
                <w:rFonts w:ascii="Times New Roman" w:eastAsia="標楷體" w:hAnsi="Times New Roman" w:hint="eastAsia"/>
                <w:color w:val="000000"/>
                <w:szCs w:val="24"/>
              </w:rPr>
              <w:t>乙方須交付客戶資料表（如附件）予甲方填具，應確認甲方為專業投資人或非專業投資人（須檢附相關證明文件），充分知悉並評估甲方之投資知識、投資經驗、財務狀況及其承受投資風險程度。</w:t>
            </w:r>
          </w:p>
          <w:p w:rsidR="00281ED0" w:rsidRPr="00037FA6" w:rsidRDefault="00281ED0" w:rsidP="00115202">
            <w:pPr>
              <w:spacing w:afterLines="30" w:line="440" w:lineRule="exact"/>
              <w:jc w:val="both"/>
              <w:rPr>
                <w:rFonts w:ascii="Times New Roman" w:eastAsia="標楷體" w:hAnsi="Times New Roman"/>
                <w:color w:val="000000"/>
                <w:szCs w:val="24"/>
              </w:rPr>
            </w:pPr>
            <w:r w:rsidRPr="00037FA6">
              <w:rPr>
                <w:rFonts w:ascii="Times New Roman" w:eastAsia="標楷體" w:hAnsi="Times New Roman" w:hint="eastAsia"/>
                <w:color w:val="000000"/>
                <w:szCs w:val="24"/>
              </w:rPr>
              <w:t>（二）</w:t>
            </w:r>
            <w:r w:rsidRPr="00037FA6">
              <w:rPr>
                <w:rFonts w:ascii="Times New Roman" w:eastAsia="標楷體" w:hAnsi="Times New Roman"/>
                <w:color w:val="000000"/>
                <w:szCs w:val="24"/>
              </w:rPr>
              <w:tab/>
            </w:r>
            <w:r w:rsidRPr="00037FA6">
              <w:rPr>
                <w:rFonts w:ascii="Times New Roman" w:eastAsia="標楷體" w:hAnsi="Times New Roman" w:hint="eastAsia"/>
                <w:color w:val="000000"/>
                <w:szCs w:val="24"/>
              </w:rPr>
              <w:t>乙方提供甲方各種有價證券之投資研究分析或建議服務，如提供外國有價證券投資顧問服務時，有關外國有價證券之範圍（包含證券種類、原發行國家或地區、基金經理公司及投資標的等）除應符合「經營外國有價證券投資顧問業務者提供顧問外國有價證券之種類及範圍」及相關函令之規定外，並依雙方協議另以附件定之，本合約所有附件均為本合約之一部分。</w:t>
            </w:r>
          </w:p>
          <w:p w:rsidR="00281ED0" w:rsidRPr="00037FA6" w:rsidRDefault="00281ED0" w:rsidP="00115202">
            <w:pPr>
              <w:spacing w:afterLines="30" w:line="440" w:lineRule="exact"/>
              <w:jc w:val="center"/>
              <w:rPr>
                <w:rFonts w:ascii="Times New Roman" w:eastAsia="標楷體" w:hAnsi="Times New Roman"/>
                <w:color w:val="000000"/>
                <w:szCs w:val="24"/>
              </w:rPr>
            </w:pPr>
          </w:p>
          <w:p w:rsidR="00281ED0" w:rsidRPr="00037FA6" w:rsidRDefault="00281ED0" w:rsidP="00115202">
            <w:pPr>
              <w:spacing w:afterLines="30" w:line="440" w:lineRule="exact"/>
              <w:jc w:val="center"/>
              <w:rPr>
                <w:rFonts w:ascii="Times New Roman" w:eastAsia="標楷體" w:hAnsi="Times New Roman"/>
                <w:color w:val="000000"/>
                <w:szCs w:val="24"/>
              </w:rPr>
            </w:pPr>
            <w:r w:rsidRPr="00037FA6">
              <w:rPr>
                <w:rFonts w:ascii="Times New Roman" w:eastAsia="標楷體" w:hAnsi="Times New Roman"/>
                <w:color w:val="000000"/>
                <w:szCs w:val="24"/>
              </w:rPr>
              <w:t>(</w:t>
            </w:r>
            <w:r w:rsidRPr="00037FA6">
              <w:rPr>
                <w:rFonts w:ascii="Times New Roman" w:eastAsia="標楷體" w:hAnsi="Times New Roman" w:hint="eastAsia"/>
                <w:color w:val="000000"/>
                <w:szCs w:val="24"/>
              </w:rPr>
              <w:t>本項新增</w:t>
            </w:r>
            <w:r w:rsidRPr="00037FA6">
              <w:rPr>
                <w:rFonts w:ascii="Times New Roman" w:eastAsia="標楷體" w:hAnsi="Times New Roman"/>
                <w:color w:val="000000"/>
                <w:szCs w:val="24"/>
              </w:rPr>
              <w:t>)</w:t>
            </w:r>
          </w:p>
          <w:p w:rsidR="00281ED0" w:rsidRPr="00037FA6" w:rsidRDefault="00281ED0" w:rsidP="00115202">
            <w:pPr>
              <w:spacing w:afterLines="30" w:line="460" w:lineRule="exact"/>
              <w:jc w:val="both"/>
              <w:rPr>
                <w:rFonts w:ascii="Times New Roman" w:eastAsia="標楷體" w:hAnsi="Times New Roman"/>
                <w:color w:val="000000"/>
                <w:szCs w:val="24"/>
              </w:rPr>
            </w:pPr>
          </w:p>
          <w:p w:rsidR="00281ED0" w:rsidRPr="00037FA6" w:rsidRDefault="00281ED0" w:rsidP="00115202">
            <w:pPr>
              <w:spacing w:afterLines="30" w:line="460" w:lineRule="exact"/>
              <w:jc w:val="both"/>
              <w:rPr>
                <w:rFonts w:ascii="Times New Roman" w:eastAsia="標楷體" w:hAnsi="Times New Roman"/>
                <w:color w:val="000000"/>
                <w:szCs w:val="24"/>
              </w:rPr>
            </w:pPr>
          </w:p>
          <w:p w:rsidR="00281ED0" w:rsidRPr="00037FA6" w:rsidRDefault="00281ED0" w:rsidP="00115202">
            <w:pPr>
              <w:spacing w:afterLines="30" w:line="460" w:lineRule="exact"/>
              <w:jc w:val="both"/>
              <w:rPr>
                <w:rFonts w:ascii="Times New Roman" w:eastAsia="標楷體" w:hAnsi="Times New Roman"/>
                <w:color w:val="000000"/>
                <w:szCs w:val="24"/>
              </w:rPr>
            </w:pPr>
          </w:p>
          <w:p w:rsidR="00281ED0" w:rsidRPr="00037FA6" w:rsidRDefault="00281ED0" w:rsidP="00115202">
            <w:pPr>
              <w:spacing w:afterLines="30" w:line="460" w:lineRule="exact"/>
              <w:jc w:val="both"/>
              <w:rPr>
                <w:rFonts w:ascii="Times New Roman" w:eastAsia="標楷體" w:hAnsi="Times New Roman"/>
                <w:color w:val="000000"/>
                <w:szCs w:val="24"/>
              </w:rPr>
            </w:pPr>
          </w:p>
          <w:p w:rsidR="00281ED0" w:rsidRPr="00037FA6" w:rsidRDefault="00281ED0" w:rsidP="00115202">
            <w:pPr>
              <w:spacing w:afterLines="30" w:line="460" w:lineRule="exact"/>
              <w:jc w:val="both"/>
              <w:rPr>
                <w:rFonts w:ascii="Times New Roman" w:eastAsia="標楷體" w:hAnsi="Times New Roman"/>
                <w:color w:val="000000"/>
                <w:szCs w:val="24"/>
              </w:rPr>
            </w:pPr>
            <w:r w:rsidRPr="00037FA6">
              <w:rPr>
                <w:rFonts w:ascii="Times New Roman" w:eastAsia="標楷體" w:hAnsi="Times New Roman" w:hint="eastAsia"/>
                <w:color w:val="000000"/>
                <w:szCs w:val="24"/>
              </w:rPr>
              <w:t>（三）</w:t>
            </w:r>
            <w:r w:rsidRPr="00037FA6">
              <w:rPr>
                <w:rFonts w:ascii="Times New Roman" w:eastAsia="標楷體" w:hAnsi="Times New Roman"/>
                <w:color w:val="000000"/>
                <w:szCs w:val="24"/>
              </w:rPr>
              <w:tab/>
            </w:r>
            <w:r w:rsidRPr="00037FA6">
              <w:rPr>
                <w:rFonts w:ascii="Times New Roman" w:eastAsia="標楷體" w:hAnsi="Times New Roman" w:hint="eastAsia"/>
                <w:color w:val="000000"/>
                <w:szCs w:val="24"/>
              </w:rPr>
              <w:t>乙方除於訂定本契約時應交付甲方相關資料（如提供外國有價證券投資顧問服務，並應交付「投資人須知」）及相關附件外，就本契約規定之顧問內容，得以下列方式提供有關之研究分析意見或建議：</w:t>
            </w:r>
            <w:r w:rsidRPr="00037FA6">
              <w:rPr>
                <w:rFonts w:ascii="Times New Roman" w:eastAsia="標楷體" w:hAnsi="Times New Roman"/>
                <w:color w:val="000000"/>
                <w:szCs w:val="24"/>
              </w:rPr>
              <w:t>(</w:t>
            </w:r>
            <w:r w:rsidRPr="00037FA6">
              <w:rPr>
                <w:rFonts w:ascii="Times New Roman" w:eastAsia="標楷體" w:hAnsi="Times New Roman" w:hint="eastAsia"/>
                <w:color w:val="000000"/>
                <w:szCs w:val="24"/>
              </w:rPr>
              <w:t>略</w:t>
            </w:r>
            <w:r w:rsidRPr="00037FA6">
              <w:rPr>
                <w:rFonts w:ascii="Times New Roman" w:eastAsia="標楷體" w:hAnsi="Times New Roman"/>
                <w:color w:val="000000"/>
                <w:szCs w:val="24"/>
              </w:rPr>
              <w:t>)</w:t>
            </w:r>
          </w:p>
          <w:p w:rsidR="00281ED0" w:rsidRPr="00037FA6" w:rsidRDefault="00281ED0" w:rsidP="00115202">
            <w:pPr>
              <w:spacing w:afterLines="30" w:line="440" w:lineRule="exact"/>
              <w:jc w:val="both"/>
              <w:rPr>
                <w:rFonts w:ascii="Times New Roman" w:eastAsia="標楷體" w:hAnsi="Times New Roman"/>
                <w:color w:val="000000"/>
                <w:szCs w:val="24"/>
              </w:rPr>
            </w:pPr>
          </w:p>
          <w:p w:rsidR="00281ED0" w:rsidRPr="00037FA6" w:rsidRDefault="00281ED0" w:rsidP="00115202">
            <w:pPr>
              <w:spacing w:afterLines="30" w:line="440" w:lineRule="exact"/>
              <w:jc w:val="center"/>
              <w:rPr>
                <w:rFonts w:ascii="Times New Roman" w:eastAsia="標楷體" w:hAnsi="Times New Roman"/>
                <w:color w:val="000000"/>
                <w:szCs w:val="24"/>
              </w:rPr>
            </w:pPr>
            <w:r w:rsidRPr="00037FA6">
              <w:rPr>
                <w:rFonts w:ascii="Times New Roman" w:eastAsia="標楷體" w:hAnsi="Times New Roman"/>
                <w:color w:val="000000"/>
                <w:szCs w:val="24"/>
              </w:rPr>
              <w:t>(</w:t>
            </w:r>
            <w:r w:rsidRPr="00037FA6">
              <w:rPr>
                <w:rFonts w:ascii="Times New Roman" w:eastAsia="標楷體" w:hAnsi="Times New Roman" w:hint="eastAsia"/>
                <w:color w:val="000000"/>
                <w:szCs w:val="24"/>
              </w:rPr>
              <w:t>第二條至第三條略</w:t>
            </w:r>
            <w:r w:rsidRPr="00037FA6">
              <w:rPr>
                <w:rFonts w:ascii="Times New Roman" w:eastAsia="標楷體" w:hAnsi="Times New Roman"/>
                <w:color w:val="000000"/>
                <w:szCs w:val="24"/>
              </w:rPr>
              <w:t>)</w:t>
            </w:r>
          </w:p>
          <w:p w:rsidR="00281ED0" w:rsidRPr="00037FA6" w:rsidRDefault="00281ED0" w:rsidP="00115202">
            <w:pPr>
              <w:spacing w:afterLines="30" w:line="440" w:lineRule="exact"/>
              <w:jc w:val="both"/>
              <w:rPr>
                <w:rFonts w:ascii="Times New Roman" w:eastAsia="標楷體" w:hAnsi="Times New Roman"/>
                <w:color w:val="000000"/>
                <w:szCs w:val="24"/>
              </w:rPr>
            </w:pPr>
          </w:p>
          <w:p w:rsidR="00281ED0" w:rsidRPr="00037FA6" w:rsidRDefault="00281ED0" w:rsidP="00115202">
            <w:pPr>
              <w:spacing w:afterLines="30" w:line="440" w:lineRule="exact"/>
              <w:rPr>
                <w:rFonts w:ascii="Times New Roman" w:eastAsia="標楷體" w:hAnsi="Times New Roman"/>
                <w:color w:val="000000"/>
                <w:szCs w:val="24"/>
              </w:rPr>
            </w:pPr>
          </w:p>
          <w:p w:rsidR="00281ED0" w:rsidRPr="00037FA6" w:rsidRDefault="00281ED0" w:rsidP="00115202">
            <w:pPr>
              <w:spacing w:afterLines="30" w:line="440" w:lineRule="exact"/>
              <w:rPr>
                <w:rFonts w:ascii="Times New Roman" w:eastAsia="標楷體" w:hAnsi="Times New Roman"/>
                <w:color w:val="000000"/>
                <w:szCs w:val="24"/>
              </w:rPr>
            </w:pPr>
            <w:bookmarkStart w:id="0" w:name="_GoBack"/>
            <w:bookmarkEnd w:id="0"/>
            <w:r w:rsidRPr="00037FA6">
              <w:rPr>
                <w:rFonts w:ascii="Times New Roman" w:eastAsia="標楷體" w:hAnsi="Times New Roman" w:hint="eastAsia"/>
                <w:color w:val="000000"/>
                <w:szCs w:val="24"/>
              </w:rPr>
              <w:t>第四條</w:t>
            </w:r>
          </w:p>
          <w:p w:rsidR="00281ED0" w:rsidRPr="00037FA6" w:rsidRDefault="00281ED0" w:rsidP="00115202">
            <w:pPr>
              <w:spacing w:afterLines="30" w:line="440" w:lineRule="exact"/>
              <w:rPr>
                <w:rFonts w:ascii="Times New Roman" w:eastAsia="標楷體" w:hAnsi="Times New Roman"/>
                <w:color w:val="000000"/>
                <w:szCs w:val="24"/>
              </w:rPr>
            </w:pPr>
            <w:r w:rsidRPr="00037FA6">
              <w:rPr>
                <w:rFonts w:ascii="Times New Roman" w:eastAsia="標楷體" w:hAnsi="Times New Roman"/>
                <w:color w:val="000000"/>
                <w:szCs w:val="24"/>
              </w:rPr>
              <w:t xml:space="preserve">   </w:t>
            </w:r>
            <w:r w:rsidRPr="00037FA6">
              <w:rPr>
                <w:rFonts w:ascii="Times New Roman" w:eastAsia="標楷體" w:hAnsi="Times New Roman" w:hint="eastAsia"/>
                <w:color w:val="000000"/>
                <w:szCs w:val="24"/>
              </w:rPr>
              <w:t>甲方在簽訂本契約前已詳細閱讀本契約書（顧問外國有價證券者包含「投資人須知」所記載之內容，並瞭解及同意以下事項：</w:t>
            </w:r>
            <w:r w:rsidRPr="00037FA6">
              <w:rPr>
                <w:rFonts w:ascii="Times New Roman" w:eastAsia="標楷體" w:hAnsi="Times New Roman"/>
                <w:color w:val="000000"/>
                <w:szCs w:val="24"/>
              </w:rPr>
              <w:t xml:space="preserve">    </w:t>
            </w:r>
          </w:p>
          <w:p w:rsidR="00281ED0" w:rsidRPr="00037FA6" w:rsidRDefault="00281ED0" w:rsidP="00115202">
            <w:pPr>
              <w:spacing w:afterLines="30"/>
              <w:rPr>
                <w:rFonts w:ascii="Times New Roman" w:eastAsia="標楷體" w:hAnsi="Times New Roman"/>
                <w:color w:val="000000"/>
                <w:szCs w:val="24"/>
              </w:rPr>
            </w:pPr>
            <w:r w:rsidRPr="00037FA6">
              <w:rPr>
                <w:rFonts w:ascii="Times New Roman" w:eastAsia="標楷體" w:hAnsi="Times New Roman"/>
                <w:color w:val="000000"/>
                <w:szCs w:val="24"/>
              </w:rPr>
              <w:t xml:space="preserve">    </w:t>
            </w:r>
          </w:p>
          <w:p w:rsidR="00281ED0" w:rsidRPr="00037FA6" w:rsidRDefault="00281ED0" w:rsidP="00115202">
            <w:pPr>
              <w:spacing w:afterLines="30"/>
              <w:ind w:firstLine="480"/>
              <w:rPr>
                <w:rFonts w:ascii="Times New Roman" w:eastAsia="標楷體" w:hAnsi="Times New Roman"/>
                <w:color w:val="000000"/>
                <w:szCs w:val="24"/>
              </w:rPr>
            </w:pPr>
            <w:r w:rsidRPr="00037FA6">
              <w:rPr>
                <w:rFonts w:ascii="Times New Roman" w:eastAsia="標楷體" w:hAnsi="Times New Roman" w:hint="eastAsia"/>
                <w:color w:val="000000"/>
                <w:szCs w:val="24"/>
              </w:rPr>
              <w:t>【（一）至</w:t>
            </w:r>
            <w:r w:rsidRPr="00037FA6">
              <w:rPr>
                <w:rFonts w:ascii="Times New Roman" w:eastAsia="標楷體" w:hAnsi="Times New Roman"/>
                <w:color w:val="000000"/>
                <w:szCs w:val="24"/>
              </w:rPr>
              <w:t>(</w:t>
            </w:r>
            <w:r w:rsidRPr="00037FA6">
              <w:rPr>
                <w:rFonts w:ascii="Times New Roman" w:eastAsia="標楷體" w:hAnsi="Times New Roman" w:hint="eastAsia"/>
                <w:color w:val="000000"/>
                <w:szCs w:val="24"/>
              </w:rPr>
              <w:t>六</w:t>
            </w:r>
            <w:r w:rsidRPr="00037FA6">
              <w:rPr>
                <w:rFonts w:ascii="Times New Roman" w:eastAsia="標楷體" w:hAnsi="Times New Roman"/>
                <w:color w:val="000000"/>
                <w:szCs w:val="24"/>
              </w:rPr>
              <w:t>)</w:t>
            </w:r>
            <w:r w:rsidRPr="00037FA6">
              <w:rPr>
                <w:rFonts w:ascii="Times New Roman" w:eastAsia="標楷體" w:hAnsi="Times New Roman" w:hint="eastAsia"/>
                <w:color w:val="000000"/>
                <w:szCs w:val="24"/>
              </w:rPr>
              <w:t>略</w:t>
            </w:r>
            <w:r w:rsidRPr="00037FA6">
              <w:rPr>
                <w:rFonts w:ascii="Times New Roman" w:eastAsia="標楷體" w:hAnsi="Times New Roman"/>
                <w:color w:val="000000"/>
                <w:szCs w:val="24"/>
              </w:rPr>
              <w:t>)</w:t>
            </w:r>
            <w:r w:rsidRPr="00037FA6">
              <w:rPr>
                <w:rFonts w:ascii="Times New Roman" w:eastAsia="標楷體" w:hAnsi="Times New Roman" w:hint="eastAsia"/>
                <w:color w:val="000000"/>
                <w:szCs w:val="24"/>
              </w:rPr>
              <w:t>】</w:t>
            </w:r>
          </w:p>
          <w:p w:rsidR="00281ED0" w:rsidRPr="00037FA6" w:rsidRDefault="00281ED0" w:rsidP="00115202">
            <w:pPr>
              <w:spacing w:afterLines="30"/>
              <w:rPr>
                <w:rFonts w:ascii="Times New Roman" w:eastAsia="標楷體" w:hAnsi="Times New Roman"/>
                <w:color w:val="000000"/>
                <w:szCs w:val="24"/>
              </w:rPr>
            </w:pPr>
          </w:p>
        </w:tc>
        <w:tc>
          <w:tcPr>
            <w:tcW w:w="2940" w:type="dxa"/>
            <w:vMerge w:val="restart"/>
          </w:tcPr>
          <w:p w:rsidR="00281ED0" w:rsidRPr="00037FA6" w:rsidRDefault="00281ED0" w:rsidP="00115202">
            <w:pPr>
              <w:spacing w:afterLines="30" w:line="440" w:lineRule="exact"/>
              <w:jc w:val="both"/>
              <w:rPr>
                <w:rFonts w:ascii="Times New Roman" w:eastAsia="標楷體" w:hAnsi="Times New Roman"/>
                <w:color w:val="000000"/>
                <w:szCs w:val="24"/>
              </w:rPr>
            </w:pPr>
            <w:r w:rsidRPr="00037FA6">
              <w:rPr>
                <w:rFonts w:ascii="Times New Roman" w:eastAsia="標楷體" w:hAnsi="Times New Roman" w:hint="eastAsia"/>
                <w:color w:val="000000"/>
                <w:szCs w:val="24"/>
              </w:rPr>
              <w:t>為避免投資人可能因貿然投資權證交易而遭受難以承受或超乎預期之損失而引發紛爭，甚影響證券市場交易秩序，</w:t>
            </w:r>
            <w:r w:rsidRPr="00037FA6">
              <w:rPr>
                <w:rFonts w:ascii="標楷體" w:eastAsia="標楷體" w:hAnsi="標楷體" w:hint="eastAsia"/>
                <w:kern w:val="0"/>
                <w:szCs w:val="24"/>
              </w:rPr>
              <w:t>投顧事業對於有意願接受認購（售）權證投資顧問服務之客戶，應於簽訂投顧委任契約時，同時交付風險預告書，並詳細告知其投資權證之相關風險，使其審慎評估後確認是否願意接受投顧事業提供推介權證之投資分析服務。</w:t>
            </w:r>
            <w:r w:rsidRPr="00037FA6">
              <w:rPr>
                <w:rFonts w:ascii="Times New Roman" w:eastAsia="標楷體" w:hAnsi="Times New Roman" w:hint="eastAsia"/>
                <w:color w:val="000000"/>
                <w:szCs w:val="24"/>
              </w:rPr>
              <w:t>遂於委任契約書範本內容載明顧問服務之範圍是否包括認購</w:t>
            </w:r>
            <w:r w:rsidRPr="00037FA6">
              <w:rPr>
                <w:rFonts w:ascii="Times New Roman" w:eastAsia="標楷體" w:hAnsi="Times New Roman"/>
                <w:color w:val="000000"/>
                <w:szCs w:val="24"/>
              </w:rPr>
              <w:t>(</w:t>
            </w:r>
            <w:r w:rsidRPr="00037FA6">
              <w:rPr>
                <w:rFonts w:ascii="Times New Roman" w:eastAsia="標楷體" w:hAnsi="Times New Roman" w:hint="eastAsia"/>
                <w:color w:val="000000"/>
                <w:szCs w:val="24"/>
              </w:rPr>
              <w:t>售</w:t>
            </w:r>
            <w:r w:rsidRPr="00037FA6">
              <w:rPr>
                <w:rFonts w:ascii="Times New Roman" w:eastAsia="標楷體" w:hAnsi="Times New Roman"/>
                <w:color w:val="000000"/>
                <w:szCs w:val="24"/>
              </w:rPr>
              <w:t>)</w:t>
            </w:r>
            <w:r w:rsidRPr="00037FA6">
              <w:rPr>
                <w:rFonts w:ascii="Times New Roman" w:eastAsia="標楷體" w:hAnsi="Times New Roman" w:hint="eastAsia"/>
                <w:color w:val="000000"/>
                <w:szCs w:val="24"/>
              </w:rPr>
              <w:t>權證，修正前言、第一條及第四條規定。並參照現行臺灣證交所有關之權證買賣辦法及權證風險預告書應行記載事項的規定，增訂附件風險預告書。</w:t>
            </w: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115202">
            <w:pPr>
              <w:spacing w:afterLines="30" w:line="440" w:lineRule="exact"/>
              <w:jc w:val="both"/>
              <w:rPr>
                <w:rFonts w:ascii="標楷體" w:eastAsia="標楷體" w:hAnsi="標楷體"/>
                <w:kern w:val="0"/>
                <w:szCs w:val="24"/>
              </w:rPr>
            </w:pPr>
          </w:p>
          <w:p w:rsidR="00281ED0" w:rsidRPr="00037FA6" w:rsidRDefault="00281ED0" w:rsidP="00037FA6">
            <w:pPr>
              <w:rPr>
                <w:rFonts w:ascii="標楷體" w:eastAsia="標楷體" w:hAnsi="標楷體"/>
                <w:szCs w:val="24"/>
              </w:rPr>
            </w:pPr>
          </w:p>
        </w:tc>
      </w:tr>
      <w:tr w:rsidR="00281ED0" w:rsidRPr="001522D1" w:rsidTr="00705536">
        <w:trPr>
          <w:trHeight w:val="953"/>
        </w:trPr>
        <w:tc>
          <w:tcPr>
            <w:tcW w:w="2940" w:type="dxa"/>
            <w:tcBorders>
              <w:top w:val="single" w:sz="4" w:space="0" w:color="auto"/>
            </w:tcBorders>
          </w:tcPr>
          <w:p w:rsidR="00281ED0" w:rsidRPr="00037FA6" w:rsidRDefault="00281ED0" w:rsidP="00115202">
            <w:pPr>
              <w:spacing w:afterLines="30" w:line="440" w:lineRule="exact"/>
              <w:jc w:val="center"/>
              <w:rPr>
                <w:rFonts w:ascii="新細明體" w:cs="新細明體"/>
                <w:color w:val="000000"/>
                <w:szCs w:val="24"/>
              </w:rPr>
            </w:pPr>
            <w:r w:rsidRPr="00037FA6">
              <w:rPr>
                <w:rFonts w:ascii="Times New Roman" w:eastAsia="標楷體" w:hAnsi="Times New Roman" w:hint="eastAsia"/>
                <w:color w:val="000000"/>
                <w:szCs w:val="24"/>
              </w:rPr>
              <w:t>投顧委任契約書</w:t>
            </w:r>
            <w:r>
              <w:rPr>
                <w:rFonts w:ascii="Times New Roman" w:eastAsia="標楷體" w:hAnsi="Times New Roman" w:hint="eastAsia"/>
                <w:color w:val="000000"/>
                <w:szCs w:val="24"/>
              </w:rPr>
              <w:t>範本</w:t>
            </w:r>
            <w:r w:rsidRPr="00037FA6">
              <w:rPr>
                <w:rFonts w:ascii="Times New Roman" w:eastAsia="標楷體" w:hAnsi="Times New Roman" w:hint="eastAsia"/>
                <w:color w:val="000000"/>
                <w:szCs w:val="24"/>
              </w:rPr>
              <w:t>之附件二：風險預告書</w:t>
            </w:r>
          </w:p>
        </w:tc>
        <w:tc>
          <w:tcPr>
            <w:tcW w:w="2940" w:type="dxa"/>
            <w:tcBorders>
              <w:top w:val="single" w:sz="4" w:space="0" w:color="auto"/>
            </w:tcBorders>
          </w:tcPr>
          <w:p w:rsidR="00281ED0" w:rsidRPr="00037FA6" w:rsidRDefault="00281ED0" w:rsidP="00115202">
            <w:pPr>
              <w:spacing w:afterLines="30" w:line="440" w:lineRule="exact"/>
              <w:jc w:val="center"/>
              <w:rPr>
                <w:rFonts w:ascii="新細明體" w:cs="新細明體"/>
                <w:color w:val="000000"/>
                <w:szCs w:val="24"/>
              </w:rPr>
            </w:pPr>
            <w:r w:rsidRPr="00037FA6">
              <w:rPr>
                <w:rFonts w:ascii="Times New Roman" w:eastAsia="標楷體" w:hAnsi="Times New Roman"/>
                <w:color w:val="000000"/>
                <w:szCs w:val="24"/>
              </w:rPr>
              <w:t>(</w:t>
            </w:r>
            <w:r w:rsidRPr="00037FA6">
              <w:rPr>
                <w:rFonts w:ascii="Times New Roman" w:eastAsia="標楷體" w:hAnsi="Times New Roman" w:hint="eastAsia"/>
                <w:color w:val="000000"/>
                <w:szCs w:val="24"/>
              </w:rPr>
              <w:t>本項新增</w:t>
            </w:r>
            <w:r w:rsidRPr="00037FA6">
              <w:rPr>
                <w:rFonts w:ascii="Times New Roman" w:eastAsia="標楷體" w:hAnsi="Times New Roman"/>
                <w:color w:val="000000"/>
                <w:szCs w:val="24"/>
              </w:rPr>
              <w:t>)</w:t>
            </w:r>
          </w:p>
        </w:tc>
        <w:tc>
          <w:tcPr>
            <w:tcW w:w="2940" w:type="dxa"/>
            <w:vMerge/>
          </w:tcPr>
          <w:p w:rsidR="00281ED0" w:rsidRPr="00037FA6" w:rsidRDefault="00281ED0" w:rsidP="00115202">
            <w:pPr>
              <w:spacing w:afterLines="30" w:line="440" w:lineRule="exact"/>
              <w:jc w:val="both"/>
              <w:rPr>
                <w:rFonts w:ascii="標楷體" w:eastAsia="標楷體" w:hAnsi="標楷體"/>
                <w:kern w:val="0"/>
                <w:szCs w:val="24"/>
              </w:rPr>
            </w:pPr>
          </w:p>
        </w:tc>
      </w:tr>
    </w:tbl>
    <w:p w:rsidR="00281ED0" w:rsidRDefault="00281ED0"/>
    <w:p w:rsidR="00281ED0" w:rsidRDefault="00281ED0"/>
    <w:p w:rsidR="00281ED0" w:rsidRDefault="00281ED0"/>
    <w:p w:rsidR="00281ED0" w:rsidRDefault="00281ED0"/>
    <w:p w:rsidR="00281ED0" w:rsidRDefault="00281ED0"/>
    <w:p w:rsidR="00281ED0" w:rsidRDefault="00281ED0"/>
    <w:p w:rsidR="00281ED0" w:rsidRDefault="00281ED0"/>
    <w:p w:rsidR="00281ED0" w:rsidRDefault="00281ED0" w:rsidP="00037FA6">
      <w:pPr>
        <w:snapToGrid w:val="0"/>
        <w:ind w:rightChars="10" w:right="24"/>
        <w:jc w:val="both"/>
        <w:outlineLvl w:val="0"/>
      </w:pPr>
    </w:p>
    <w:p w:rsidR="00281ED0" w:rsidRDefault="00281ED0" w:rsidP="00115202">
      <w:pPr>
        <w:spacing w:afterLines="50" w:line="500" w:lineRule="exact"/>
        <w:jc w:val="both"/>
        <w:rPr>
          <w:rFonts w:eastAsia="標楷體"/>
          <w:color w:val="000000"/>
        </w:rPr>
      </w:pPr>
    </w:p>
    <w:p w:rsidR="00281ED0" w:rsidRDefault="00281ED0" w:rsidP="00115202">
      <w:pPr>
        <w:spacing w:afterLines="50" w:line="500" w:lineRule="exact"/>
        <w:jc w:val="both"/>
        <w:rPr>
          <w:rFonts w:eastAsia="標楷體"/>
          <w:color w:val="000000"/>
        </w:rPr>
      </w:pPr>
    </w:p>
    <w:p w:rsidR="00281ED0" w:rsidRDefault="00281ED0" w:rsidP="00115202">
      <w:pPr>
        <w:spacing w:afterLines="50" w:line="500" w:lineRule="exact"/>
        <w:jc w:val="both"/>
        <w:rPr>
          <w:rFonts w:eastAsia="標楷體"/>
          <w:color w:val="000000"/>
        </w:rPr>
      </w:pPr>
    </w:p>
    <w:p w:rsidR="00281ED0" w:rsidRPr="007C575A" w:rsidRDefault="00281ED0" w:rsidP="007C575A">
      <w:pPr>
        <w:snapToGrid w:val="0"/>
        <w:ind w:rightChars="10" w:right="24"/>
        <w:jc w:val="both"/>
        <w:outlineLvl w:val="0"/>
        <w:rPr>
          <w:rFonts w:ascii="標楷體" w:eastAsia="標楷體" w:hAnsi="標楷體"/>
          <w:bCs/>
          <w:sz w:val="28"/>
          <w:szCs w:val="28"/>
          <w:bdr w:val="single" w:sz="4" w:space="0" w:color="auto"/>
        </w:rPr>
      </w:pPr>
    </w:p>
    <w:sectPr w:rsidR="00281ED0" w:rsidRPr="007C575A" w:rsidSect="00C44B43">
      <w:headerReference w:type="default" r:id="rId7"/>
      <w:footerReference w:type="even" r:id="rId8"/>
      <w:footerReference w:type="default" r:id="rId9"/>
      <w:footerReference w:type="first" r:id="rId10"/>
      <w:pgSz w:w="11906" w:h="16838"/>
      <w:pgMar w:top="1440" w:right="1800" w:bottom="1440" w:left="1800" w:header="850"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ED0" w:rsidRDefault="00281ED0">
      <w:r>
        <w:separator/>
      </w:r>
    </w:p>
  </w:endnote>
  <w:endnote w:type="continuationSeparator" w:id="0">
    <w:p w:rsidR="00281ED0" w:rsidRDefault="00281ED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ED0" w:rsidRDefault="00281ED0" w:rsidP="00B262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1ED0" w:rsidRDefault="00281E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ED0" w:rsidRDefault="00281ED0">
    <w:pPr>
      <w:pStyle w:val="Footer"/>
      <w:jc w:val="center"/>
    </w:pPr>
    <w:fldSimple w:instr="PAGE   \* MERGEFORMAT">
      <w:r w:rsidRPr="00115202">
        <w:rPr>
          <w:noProof/>
          <w:lang w:val="zh-TW"/>
        </w:rPr>
        <w:t>1</w:t>
      </w:r>
    </w:fldSimple>
  </w:p>
  <w:p w:rsidR="00281ED0" w:rsidRDefault="00281E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ED0" w:rsidRDefault="00281ED0" w:rsidP="00B26212">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ED0" w:rsidRDefault="00281ED0">
      <w:r>
        <w:separator/>
      </w:r>
    </w:p>
  </w:footnote>
  <w:footnote w:type="continuationSeparator" w:id="0">
    <w:p w:rsidR="00281ED0" w:rsidRDefault="00281E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ED0" w:rsidRPr="00990716" w:rsidRDefault="00281ED0" w:rsidP="005A4F0D">
    <w:pPr>
      <w:pStyle w:val="Header"/>
      <w:ind w:leftChars="50" w:left="7050" w:rightChars="-250" w:right="-600" w:hangingChars="3150" w:hanging="6930"/>
      <w:rPr>
        <w:rFonts w:ascii="標楷體" w:eastAsia="標楷體" w:hAnsi="標楷體"/>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6035"/>
    <w:multiLevelType w:val="singleLevel"/>
    <w:tmpl w:val="588EBAB4"/>
    <w:lvl w:ilvl="0">
      <w:start w:val="1"/>
      <w:numFmt w:val="decimal"/>
      <w:lvlText w:val="%1、"/>
      <w:lvlJc w:val="left"/>
      <w:pPr>
        <w:tabs>
          <w:tab w:val="num" w:pos="2403"/>
        </w:tabs>
        <w:ind w:left="2403" w:hanging="720"/>
      </w:pPr>
      <w:rPr>
        <w:rFonts w:ascii="標楷體" w:cs="Times New Roman" w:hint="eastAsia"/>
      </w:rPr>
    </w:lvl>
  </w:abstractNum>
  <w:abstractNum w:abstractNumId="1">
    <w:nsid w:val="10897C14"/>
    <w:multiLevelType w:val="hybridMultilevel"/>
    <w:tmpl w:val="48EE40F0"/>
    <w:lvl w:ilvl="0" w:tplc="2B907E8C">
      <w:start w:val="1"/>
      <w:numFmt w:val="taiwaneseCountingThousand"/>
      <w:lvlText w:val="（%1）"/>
      <w:lvlJc w:val="left"/>
      <w:pPr>
        <w:tabs>
          <w:tab w:val="num" w:pos="2007"/>
        </w:tabs>
        <w:ind w:left="2007" w:hanging="876"/>
      </w:pPr>
      <w:rPr>
        <w:rFonts w:cs="Times New Roman" w:hint="eastAsia"/>
      </w:rPr>
    </w:lvl>
    <w:lvl w:ilvl="1" w:tplc="39D03D7C">
      <w:start w:val="1"/>
      <w:numFmt w:val="decimal"/>
      <w:lvlText w:val="（%2）"/>
      <w:lvlJc w:val="left"/>
      <w:pPr>
        <w:tabs>
          <w:tab w:val="num" w:pos="1200"/>
        </w:tabs>
        <w:ind w:left="1200" w:hanging="720"/>
      </w:pPr>
      <w:rPr>
        <w:rFonts w:cs="Times New Roman" w:hint="eastAsia"/>
      </w:rPr>
    </w:lvl>
    <w:lvl w:ilvl="2" w:tplc="B7944AFE">
      <w:start w:val="1"/>
      <w:numFmt w:val="upperLetter"/>
      <w:lvlText w:val="（%3）"/>
      <w:lvlJc w:val="left"/>
      <w:pPr>
        <w:tabs>
          <w:tab w:val="num" w:pos="1755"/>
        </w:tabs>
        <w:ind w:left="1755" w:hanging="795"/>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2677234"/>
    <w:multiLevelType w:val="singleLevel"/>
    <w:tmpl w:val="ED1E563C"/>
    <w:lvl w:ilvl="0">
      <w:start w:val="1"/>
      <w:numFmt w:val="decimal"/>
      <w:lvlText w:val="%1、"/>
      <w:lvlJc w:val="left"/>
      <w:pPr>
        <w:tabs>
          <w:tab w:val="num" w:pos="2153"/>
        </w:tabs>
        <w:ind w:left="2153" w:hanging="396"/>
      </w:pPr>
      <w:rPr>
        <w:rFonts w:cs="Times New Roman" w:hint="eastAsia"/>
      </w:rPr>
    </w:lvl>
  </w:abstractNum>
  <w:abstractNum w:abstractNumId="3">
    <w:nsid w:val="2A9F491C"/>
    <w:multiLevelType w:val="singleLevel"/>
    <w:tmpl w:val="F448043A"/>
    <w:lvl w:ilvl="0">
      <w:start w:val="1"/>
      <w:numFmt w:val="taiwaneseCountingThousand"/>
      <w:lvlText w:val="（%1）"/>
      <w:lvlJc w:val="left"/>
      <w:pPr>
        <w:tabs>
          <w:tab w:val="num" w:pos="1691"/>
        </w:tabs>
        <w:ind w:left="1691" w:hanging="840"/>
      </w:pPr>
      <w:rPr>
        <w:rFonts w:cs="Times New Roman" w:hint="eastAsia"/>
      </w:rPr>
    </w:lvl>
  </w:abstractNum>
  <w:abstractNum w:abstractNumId="4">
    <w:nsid w:val="2DB53DC0"/>
    <w:multiLevelType w:val="singleLevel"/>
    <w:tmpl w:val="5992CFF4"/>
    <w:lvl w:ilvl="0">
      <w:start w:val="1"/>
      <w:numFmt w:val="taiwaneseCountingThousand"/>
      <w:lvlText w:val="（%1）"/>
      <w:lvlJc w:val="left"/>
      <w:pPr>
        <w:tabs>
          <w:tab w:val="num" w:pos="1400"/>
        </w:tabs>
        <w:ind w:left="1400" w:hanging="840"/>
      </w:pPr>
      <w:rPr>
        <w:rFonts w:cs="Times New Roman" w:hint="eastAsia"/>
      </w:rPr>
    </w:lvl>
  </w:abstractNum>
  <w:abstractNum w:abstractNumId="5">
    <w:nsid w:val="37AE3CF0"/>
    <w:multiLevelType w:val="singleLevel"/>
    <w:tmpl w:val="2B907E8C"/>
    <w:lvl w:ilvl="0">
      <w:start w:val="1"/>
      <w:numFmt w:val="taiwaneseCountingThousand"/>
      <w:lvlText w:val="（%1）"/>
      <w:lvlJc w:val="left"/>
      <w:pPr>
        <w:tabs>
          <w:tab w:val="num" w:pos="2436"/>
        </w:tabs>
        <w:ind w:left="2436" w:hanging="876"/>
      </w:pPr>
      <w:rPr>
        <w:rFonts w:cs="Times New Roman" w:hint="eastAsia"/>
      </w:rPr>
    </w:lvl>
  </w:abstractNum>
  <w:abstractNum w:abstractNumId="6">
    <w:nsid w:val="3EA80391"/>
    <w:multiLevelType w:val="singleLevel"/>
    <w:tmpl w:val="0F8A9600"/>
    <w:lvl w:ilvl="0">
      <w:start w:val="1"/>
      <w:numFmt w:val="taiwaneseCountingThousand"/>
      <w:lvlText w:val="（%1）"/>
      <w:lvlJc w:val="left"/>
      <w:pPr>
        <w:tabs>
          <w:tab w:val="num" w:pos="1342"/>
        </w:tabs>
        <w:ind w:left="1342" w:hanging="840"/>
      </w:pPr>
      <w:rPr>
        <w:rFonts w:cs="Times New Roman" w:hint="eastAsia"/>
      </w:rPr>
    </w:lvl>
  </w:abstractNum>
  <w:abstractNum w:abstractNumId="7">
    <w:nsid w:val="521F329D"/>
    <w:multiLevelType w:val="hybridMultilevel"/>
    <w:tmpl w:val="FE383962"/>
    <w:lvl w:ilvl="0" w:tplc="B120A5B2">
      <w:start w:val="1"/>
      <w:numFmt w:val="decimal"/>
      <w:lvlText w:val="(%1)"/>
      <w:lvlJc w:val="left"/>
      <w:pPr>
        <w:tabs>
          <w:tab w:val="num" w:pos="2404"/>
        </w:tabs>
        <w:ind w:left="2404" w:hanging="360"/>
      </w:pPr>
      <w:rPr>
        <w:rFonts w:cs="Times New Roman" w:hint="eastAsia"/>
      </w:rPr>
    </w:lvl>
    <w:lvl w:ilvl="1" w:tplc="AFB2EB8E">
      <w:start w:val="1"/>
      <w:numFmt w:val="taiwaneseCountingThousand"/>
      <w:lvlText w:val="%2、"/>
      <w:lvlJc w:val="left"/>
      <w:pPr>
        <w:tabs>
          <w:tab w:val="num" w:pos="3244"/>
        </w:tabs>
        <w:ind w:left="3244" w:hanging="720"/>
      </w:pPr>
      <w:rPr>
        <w:rFonts w:cs="Times New Roman" w:hint="eastAsia"/>
      </w:rPr>
    </w:lvl>
    <w:lvl w:ilvl="2" w:tplc="0409001B" w:tentative="1">
      <w:start w:val="1"/>
      <w:numFmt w:val="lowerRoman"/>
      <w:lvlText w:val="%3."/>
      <w:lvlJc w:val="right"/>
      <w:pPr>
        <w:tabs>
          <w:tab w:val="num" w:pos="3484"/>
        </w:tabs>
        <w:ind w:left="3484" w:hanging="480"/>
      </w:pPr>
      <w:rPr>
        <w:rFonts w:cs="Times New Roman"/>
      </w:rPr>
    </w:lvl>
    <w:lvl w:ilvl="3" w:tplc="0409000F" w:tentative="1">
      <w:start w:val="1"/>
      <w:numFmt w:val="decimal"/>
      <w:lvlText w:val="%4."/>
      <w:lvlJc w:val="left"/>
      <w:pPr>
        <w:tabs>
          <w:tab w:val="num" w:pos="3964"/>
        </w:tabs>
        <w:ind w:left="3964" w:hanging="480"/>
      </w:pPr>
      <w:rPr>
        <w:rFonts w:cs="Times New Roman"/>
      </w:rPr>
    </w:lvl>
    <w:lvl w:ilvl="4" w:tplc="04090019" w:tentative="1">
      <w:start w:val="1"/>
      <w:numFmt w:val="ideographTraditional"/>
      <w:lvlText w:val="%5、"/>
      <w:lvlJc w:val="left"/>
      <w:pPr>
        <w:tabs>
          <w:tab w:val="num" w:pos="4444"/>
        </w:tabs>
        <w:ind w:left="4444" w:hanging="480"/>
      </w:pPr>
      <w:rPr>
        <w:rFonts w:cs="Times New Roman"/>
      </w:rPr>
    </w:lvl>
    <w:lvl w:ilvl="5" w:tplc="0409001B" w:tentative="1">
      <w:start w:val="1"/>
      <w:numFmt w:val="lowerRoman"/>
      <w:lvlText w:val="%6."/>
      <w:lvlJc w:val="right"/>
      <w:pPr>
        <w:tabs>
          <w:tab w:val="num" w:pos="4924"/>
        </w:tabs>
        <w:ind w:left="4924" w:hanging="480"/>
      </w:pPr>
      <w:rPr>
        <w:rFonts w:cs="Times New Roman"/>
      </w:rPr>
    </w:lvl>
    <w:lvl w:ilvl="6" w:tplc="0409000F" w:tentative="1">
      <w:start w:val="1"/>
      <w:numFmt w:val="decimal"/>
      <w:lvlText w:val="%7."/>
      <w:lvlJc w:val="left"/>
      <w:pPr>
        <w:tabs>
          <w:tab w:val="num" w:pos="5404"/>
        </w:tabs>
        <w:ind w:left="5404" w:hanging="480"/>
      </w:pPr>
      <w:rPr>
        <w:rFonts w:cs="Times New Roman"/>
      </w:rPr>
    </w:lvl>
    <w:lvl w:ilvl="7" w:tplc="04090019" w:tentative="1">
      <w:start w:val="1"/>
      <w:numFmt w:val="ideographTraditional"/>
      <w:lvlText w:val="%8、"/>
      <w:lvlJc w:val="left"/>
      <w:pPr>
        <w:tabs>
          <w:tab w:val="num" w:pos="5884"/>
        </w:tabs>
        <w:ind w:left="5884" w:hanging="480"/>
      </w:pPr>
      <w:rPr>
        <w:rFonts w:cs="Times New Roman"/>
      </w:rPr>
    </w:lvl>
    <w:lvl w:ilvl="8" w:tplc="0409001B" w:tentative="1">
      <w:start w:val="1"/>
      <w:numFmt w:val="lowerRoman"/>
      <w:lvlText w:val="%9."/>
      <w:lvlJc w:val="right"/>
      <w:pPr>
        <w:tabs>
          <w:tab w:val="num" w:pos="6364"/>
        </w:tabs>
        <w:ind w:left="6364" w:hanging="480"/>
      </w:pPr>
      <w:rPr>
        <w:rFonts w:cs="Times New Roman"/>
      </w:rPr>
    </w:lvl>
  </w:abstractNum>
  <w:abstractNum w:abstractNumId="8">
    <w:nsid w:val="6BDF2A11"/>
    <w:multiLevelType w:val="hybridMultilevel"/>
    <w:tmpl w:val="AE9064A0"/>
    <w:lvl w:ilvl="0" w:tplc="1DEC2722">
      <w:numFmt w:val="bullet"/>
      <w:lvlText w:val="□"/>
      <w:lvlJc w:val="left"/>
      <w:pPr>
        <w:tabs>
          <w:tab w:val="num" w:pos="2124"/>
        </w:tabs>
        <w:ind w:left="2124" w:hanging="360"/>
      </w:pPr>
      <w:rPr>
        <w:rFonts w:ascii="標楷體" w:eastAsia="標楷體" w:hAnsi="標楷體" w:hint="eastAsia"/>
      </w:rPr>
    </w:lvl>
    <w:lvl w:ilvl="1" w:tplc="04090003" w:tentative="1">
      <w:start w:val="1"/>
      <w:numFmt w:val="bullet"/>
      <w:lvlText w:val=""/>
      <w:lvlJc w:val="left"/>
      <w:pPr>
        <w:tabs>
          <w:tab w:val="num" w:pos="2724"/>
        </w:tabs>
        <w:ind w:left="2724" w:hanging="480"/>
      </w:pPr>
      <w:rPr>
        <w:rFonts w:ascii="Wingdings" w:hAnsi="Wingdings" w:hint="default"/>
      </w:rPr>
    </w:lvl>
    <w:lvl w:ilvl="2" w:tplc="04090005" w:tentative="1">
      <w:start w:val="1"/>
      <w:numFmt w:val="bullet"/>
      <w:lvlText w:val=""/>
      <w:lvlJc w:val="left"/>
      <w:pPr>
        <w:tabs>
          <w:tab w:val="num" w:pos="3204"/>
        </w:tabs>
        <w:ind w:left="3204" w:hanging="480"/>
      </w:pPr>
      <w:rPr>
        <w:rFonts w:ascii="Wingdings" w:hAnsi="Wingdings" w:hint="default"/>
      </w:rPr>
    </w:lvl>
    <w:lvl w:ilvl="3" w:tplc="04090001" w:tentative="1">
      <w:start w:val="1"/>
      <w:numFmt w:val="bullet"/>
      <w:lvlText w:val=""/>
      <w:lvlJc w:val="left"/>
      <w:pPr>
        <w:tabs>
          <w:tab w:val="num" w:pos="3684"/>
        </w:tabs>
        <w:ind w:left="3684" w:hanging="480"/>
      </w:pPr>
      <w:rPr>
        <w:rFonts w:ascii="Wingdings" w:hAnsi="Wingdings" w:hint="default"/>
      </w:rPr>
    </w:lvl>
    <w:lvl w:ilvl="4" w:tplc="04090003" w:tentative="1">
      <w:start w:val="1"/>
      <w:numFmt w:val="bullet"/>
      <w:lvlText w:val=""/>
      <w:lvlJc w:val="left"/>
      <w:pPr>
        <w:tabs>
          <w:tab w:val="num" w:pos="4164"/>
        </w:tabs>
        <w:ind w:left="4164" w:hanging="480"/>
      </w:pPr>
      <w:rPr>
        <w:rFonts w:ascii="Wingdings" w:hAnsi="Wingdings" w:hint="default"/>
      </w:rPr>
    </w:lvl>
    <w:lvl w:ilvl="5" w:tplc="04090005" w:tentative="1">
      <w:start w:val="1"/>
      <w:numFmt w:val="bullet"/>
      <w:lvlText w:val=""/>
      <w:lvlJc w:val="left"/>
      <w:pPr>
        <w:tabs>
          <w:tab w:val="num" w:pos="4644"/>
        </w:tabs>
        <w:ind w:left="4644" w:hanging="480"/>
      </w:pPr>
      <w:rPr>
        <w:rFonts w:ascii="Wingdings" w:hAnsi="Wingdings" w:hint="default"/>
      </w:rPr>
    </w:lvl>
    <w:lvl w:ilvl="6" w:tplc="04090001" w:tentative="1">
      <w:start w:val="1"/>
      <w:numFmt w:val="bullet"/>
      <w:lvlText w:val=""/>
      <w:lvlJc w:val="left"/>
      <w:pPr>
        <w:tabs>
          <w:tab w:val="num" w:pos="5124"/>
        </w:tabs>
        <w:ind w:left="5124" w:hanging="480"/>
      </w:pPr>
      <w:rPr>
        <w:rFonts w:ascii="Wingdings" w:hAnsi="Wingdings" w:hint="default"/>
      </w:rPr>
    </w:lvl>
    <w:lvl w:ilvl="7" w:tplc="04090003" w:tentative="1">
      <w:start w:val="1"/>
      <w:numFmt w:val="bullet"/>
      <w:lvlText w:val=""/>
      <w:lvlJc w:val="left"/>
      <w:pPr>
        <w:tabs>
          <w:tab w:val="num" w:pos="5604"/>
        </w:tabs>
        <w:ind w:left="5604" w:hanging="480"/>
      </w:pPr>
      <w:rPr>
        <w:rFonts w:ascii="Wingdings" w:hAnsi="Wingdings" w:hint="default"/>
      </w:rPr>
    </w:lvl>
    <w:lvl w:ilvl="8" w:tplc="04090005" w:tentative="1">
      <w:start w:val="1"/>
      <w:numFmt w:val="bullet"/>
      <w:lvlText w:val=""/>
      <w:lvlJc w:val="left"/>
      <w:pPr>
        <w:tabs>
          <w:tab w:val="num" w:pos="6084"/>
        </w:tabs>
        <w:ind w:left="6084" w:hanging="480"/>
      </w:pPr>
      <w:rPr>
        <w:rFonts w:ascii="Wingdings" w:hAnsi="Wingdings" w:hint="default"/>
      </w:r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FA6"/>
    <w:rsid w:val="00037FA6"/>
    <w:rsid w:val="00115202"/>
    <w:rsid w:val="001522D1"/>
    <w:rsid w:val="00281ED0"/>
    <w:rsid w:val="002D4D35"/>
    <w:rsid w:val="004929BC"/>
    <w:rsid w:val="004C0431"/>
    <w:rsid w:val="004C1E53"/>
    <w:rsid w:val="005254F3"/>
    <w:rsid w:val="005427B3"/>
    <w:rsid w:val="005A0B2C"/>
    <w:rsid w:val="005A4F0D"/>
    <w:rsid w:val="005E5529"/>
    <w:rsid w:val="00705536"/>
    <w:rsid w:val="007C575A"/>
    <w:rsid w:val="0092172C"/>
    <w:rsid w:val="009758B8"/>
    <w:rsid w:val="00990716"/>
    <w:rsid w:val="009A18C4"/>
    <w:rsid w:val="00A0710C"/>
    <w:rsid w:val="00A13C71"/>
    <w:rsid w:val="00A175F9"/>
    <w:rsid w:val="00A17A0C"/>
    <w:rsid w:val="00B03A92"/>
    <w:rsid w:val="00B24E72"/>
    <w:rsid w:val="00B26212"/>
    <w:rsid w:val="00B51A6A"/>
    <w:rsid w:val="00BE3FDF"/>
    <w:rsid w:val="00C44B43"/>
    <w:rsid w:val="00D00C44"/>
    <w:rsid w:val="00D47F9B"/>
    <w:rsid w:val="00D52637"/>
    <w:rsid w:val="00DA500C"/>
    <w:rsid w:val="00DF325B"/>
    <w:rsid w:val="00EC0C81"/>
    <w:rsid w:val="00EC1073"/>
    <w:rsid w:val="00F553F9"/>
    <w:rsid w:val="00F96323"/>
    <w:rsid w:val="00FA11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F9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7FA6"/>
    <w:pPr>
      <w:tabs>
        <w:tab w:val="center" w:pos="4153"/>
        <w:tab w:val="right" w:pos="8306"/>
      </w:tabs>
      <w:snapToGrid w:val="0"/>
    </w:pPr>
    <w:rPr>
      <w:rFonts w:ascii="Times New Roman" w:hAnsi="Times New Roman"/>
      <w:sz w:val="20"/>
      <w:szCs w:val="20"/>
    </w:rPr>
  </w:style>
  <w:style w:type="character" w:customStyle="1" w:styleId="FooterChar">
    <w:name w:val="Footer Char"/>
    <w:basedOn w:val="DefaultParagraphFont"/>
    <w:link w:val="Footer"/>
    <w:uiPriority w:val="99"/>
    <w:locked/>
    <w:rsid w:val="00037FA6"/>
    <w:rPr>
      <w:rFonts w:ascii="Times New Roman" w:eastAsia="新細明體" w:hAnsi="Times New Roman" w:cs="Times New Roman"/>
      <w:sz w:val="20"/>
      <w:szCs w:val="20"/>
      <w:lang/>
    </w:rPr>
  </w:style>
  <w:style w:type="character" w:styleId="PageNumber">
    <w:name w:val="page number"/>
    <w:basedOn w:val="DefaultParagraphFont"/>
    <w:uiPriority w:val="99"/>
    <w:rsid w:val="00037FA6"/>
    <w:rPr>
      <w:rFonts w:cs="Times New Roman"/>
    </w:rPr>
  </w:style>
  <w:style w:type="paragraph" w:styleId="Header">
    <w:name w:val="header"/>
    <w:basedOn w:val="Normal"/>
    <w:link w:val="HeaderChar"/>
    <w:uiPriority w:val="99"/>
    <w:rsid w:val="007C575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C575A"/>
    <w:rPr>
      <w:rFonts w:cs="Times New Roman"/>
      <w:sz w:val="20"/>
      <w:szCs w:val="20"/>
    </w:rPr>
  </w:style>
  <w:style w:type="paragraph" w:styleId="BalloonText">
    <w:name w:val="Balloon Text"/>
    <w:basedOn w:val="Normal"/>
    <w:link w:val="BalloonTextChar"/>
    <w:uiPriority w:val="99"/>
    <w:semiHidden/>
    <w:rsid w:val="007C575A"/>
    <w:rPr>
      <w:rFonts w:ascii="Cambria" w:hAnsi="Cambria"/>
      <w:sz w:val="18"/>
      <w:szCs w:val="18"/>
    </w:rPr>
  </w:style>
  <w:style w:type="character" w:customStyle="1" w:styleId="BalloonTextChar">
    <w:name w:val="Balloon Text Char"/>
    <w:basedOn w:val="DefaultParagraphFont"/>
    <w:link w:val="BalloonText"/>
    <w:uiPriority w:val="99"/>
    <w:semiHidden/>
    <w:locked/>
    <w:rsid w:val="007C575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273</Words>
  <Characters>1559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投資顧問服務委任契約書範本修正條文對照表</dc:title>
  <dc:subject/>
  <dc:creator>投信投顧公會 林孟樺</dc:creator>
  <cp:keywords/>
  <dc:description/>
  <cp:lastModifiedBy>chris</cp:lastModifiedBy>
  <cp:revision>2</cp:revision>
  <dcterms:created xsi:type="dcterms:W3CDTF">2012-12-24T01:21:00Z</dcterms:created>
  <dcterms:modified xsi:type="dcterms:W3CDTF">2012-12-24T01:21:00Z</dcterms:modified>
</cp:coreProperties>
</file>